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BC187" w14:textId="0998D7BD" w:rsidR="008A5A50" w:rsidRDefault="00C50D05" w:rsidP="008A5A50">
      <w:pPr>
        <w:rPr>
          <w:lang w:val="fr-CA"/>
        </w:rPr>
      </w:pPr>
      <w:r w:rsidRPr="00E73CF4">
        <w:rPr>
          <w:noProof/>
          <w:lang w:val="fr-CA"/>
        </w:rPr>
        <w:drawing>
          <wp:inline distT="0" distB="0" distL="0" distR="0" wp14:anchorId="3955E127" wp14:editId="2EAB63D8">
            <wp:extent cx="4782312" cy="777240"/>
            <wp:effectExtent l="0" t="0" r="0" b="381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2312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91479" w14:textId="51F511AD" w:rsidR="007802A2" w:rsidRPr="007802A2" w:rsidRDefault="007802A2" w:rsidP="007802A2">
      <w:pPr>
        <w:spacing w:after="120"/>
        <w:jc w:val="right"/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>(</w:t>
      </w:r>
      <w:proofErr w:type="spellStart"/>
      <w:r>
        <w:rPr>
          <w:rFonts w:ascii="Arial" w:hAnsi="Arial" w:cs="Arial"/>
          <w:sz w:val="20"/>
          <w:szCs w:val="20"/>
          <w:lang w:val="fr-CA"/>
        </w:rPr>
        <w:t>Available</w:t>
      </w:r>
      <w:proofErr w:type="spellEnd"/>
      <w:r>
        <w:rPr>
          <w:rFonts w:ascii="Arial" w:hAnsi="Arial" w:cs="Arial"/>
          <w:sz w:val="20"/>
          <w:szCs w:val="20"/>
          <w:lang w:val="fr-CA"/>
        </w:rPr>
        <w:t xml:space="preserve"> in English)</w:t>
      </w:r>
    </w:p>
    <w:p w14:paraId="32096CA3" w14:textId="64251064" w:rsidR="008A5A50" w:rsidRPr="00F932CC" w:rsidRDefault="00E73CF4" w:rsidP="00636475">
      <w:pPr>
        <w:pStyle w:val="Heading2"/>
        <w:ind w:left="142" w:hanging="142"/>
        <w:jc w:val="center"/>
        <w:rPr>
          <w:rFonts w:cs="Arial"/>
          <w:b w:val="0"/>
          <w:bCs/>
          <w:sz w:val="28"/>
          <w:szCs w:val="28"/>
          <w:lang w:val="fr-CA"/>
        </w:rPr>
      </w:pPr>
      <w:r w:rsidRPr="00876221">
        <w:rPr>
          <w:rFonts w:cs="Arial"/>
          <w:i w:val="0"/>
          <w:iCs/>
          <w:sz w:val="28"/>
          <w:szCs w:val="28"/>
          <w:lang w:val="fr-CA"/>
        </w:rPr>
        <w:t>Appels d’un tiers SEULEMENT</w:t>
      </w:r>
      <w:r w:rsidR="00636475">
        <w:rPr>
          <w:rFonts w:cs="Arial"/>
          <w:i w:val="0"/>
          <w:iCs/>
          <w:sz w:val="28"/>
          <w:szCs w:val="28"/>
          <w:lang w:val="fr-CA"/>
        </w:rPr>
        <w:t xml:space="preserve"> – </w:t>
      </w:r>
      <w:r w:rsidRPr="00636475">
        <w:rPr>
          <w:rFonts w:cs="Arial"/>
          <w:bCs/>
          <w:i w:val="0"/>
          <w:iCs/>
          <w:sz w:val="28"/>
          <w:szCs w:val="28"/>
          <w:lang w:val="fr-CA"/>
        </w:rPr>
        <w:t>Demande d’appliquer un procès-verbal de règlement</w:t>
      </w:r>
    </w:p>
    <w:p w14:paraId="04D780C5" w14:textId="63CA2BBE" w:rsidR="006879FE" w:rsidRPr="00F932CC" w:rsidRDefault="00E73CF4" w:rsidP="00F932CC">
      <w:pPr>
        <w:pStyle w:val="Heading1"/>
        <w:rPr>
          <w:sz w:val="28"/>
          <w:szCs w:val="28"/>
          <w:lang w:val="fr-CA"/>
        </w:rPr>
      </w:pPr>
      <w:r w:rsidRPr="00F932CC">
        <w:rPr>
          <w:sz w:val="28"/>
          <w:szCs w:val="28"/>
          <w:lang w:val="fr-CA"/>
        </w:rPr>
        <w:t>Qu’est-ce que l’appel d’un tiers</w:t>
      </w:r>
      <w:r w:rsidR="000E52E9" w:rsidRPr="00F932CC">
        <w:rPr>
          <w:sz w:val="28"/>
          <w:szCs w:val="28"/>
          <w:lang w:val="fr-CA"/>
        </w:rPr>
        <w:t>?</w:t>
      </w:r>
    </w:p>
    <w:p w14:paraId="021C3A8E" w14:textId="3C184628" w:rsidR="00E73CF4" w:rsidRPr="008E4370" w:rsidRDefault="00E73CF4" w:rsidP="00E73CF4">
      <w:pPr>
        <w:spacing w:line="278" w:lineRule="auto"/>
        <w:rPr>
          <w:rFonts w:ascii="Arial" w:hAnsi="Arial" w:cs="Arial"/>
          <w:lang w:val="fr-CA"/>
        </w:rPr>
      </w:pPr>
      <w:bookmarkStart w:id="0" w:name="_Hlk137024325"/>
      <w:r>
        <w:rPr>
          <w:rFonts w:ascii="Arial" w:hAnsi="Arial" w:cs="Arial"/>
          <w:lang w:val="fr-CA"/>
        </w:rPr>
        <w:t xml:space="preserve">L’« appel d’un tiers » est un appel déposé en vertu du paragraphe </w:t>
      </w:r>
      <w:r w:rsidRPr="008E4370">
        <w:rPr>
          <w:rFonts w:ascii="Arial" w:hAnsi="Arial" w:cs="Arial"/>
          <w:lang w:val="fr-CA"/>
        </w:rPr>
        <w:t>40</w:t>
      </w:r>
      <w:r>
        <w:rPr>
          <w:rFonts w:ascii="Arial" w:hAnsi="Arial" w:cs="Arial"/>
          <w:lang w:val="fr-CA"/>
        </w:rPr>
        <w:t> </w:t>
      </w:r>
      <w:r w:rsidRPr="008E4370">
        <w:rPr>
          <w:rFonts w:ascii="Arial" w:hAnsi="Arial" w:cs="Arial"/>
          <w:lang w:val="fr-CA"/>
        </w:rPr>
        <w:t>(1)</w:t>
      </w:r>
      <w:r>
        <w:rPr>
          <w:rFonts w:ascii="Arial" w:hAnsi="Arial" w:cs="Arial"/>
          <w:lang w:val="fr-CA"/>
        </w:rPr>
        <w:t xml:space="preserve"> de la </w:t>
      </w:r>
      <w:r w:rsidRPr="008E4370">
        <w:rPr>
          <w:rFonts w:ascii="Arial" w:hAnsi="Arial" w:cs="Arial"/>
          <w:i/>
          <w:iCs/>
          <w:lang w:val="fr-CA"/>
        </w:rPr>
        <w:t>Loi sur l’évaluation foncière</w:t>
      </w:r>
      <w:r>
        <w:rPr>
          <w:rFonts w:ascii="Arial" w:hAnsi="Arial" w:cs="Arial"/>
          <w:lang w:val="fr-CA"/>
        </w:rPr>
        <w:t xml:space="preserve"> qui concerne l’évaluation foncière d’une autre personne</w:t>
      </w:r>
      <w:r w:rsidRPr="008E4370">
        <w:rPr>
          <w:rFonts w:ascii="Arial" w:hAnsi="Arial" w:cs="Arial"/>
          <w:lang w:val="fr-CA"/>
        </w:rPr>
        <w:t xml:space="preserve">.  </w:t>
      </w:r>
    </w:p>
    <w:p w14:paraId="0FFF0054" w14:textId="34640304" w:rsidR="00E73CF4" w:rsidRPr="008E4370" w:rsidRDefault="00E73CF4" w:rsidP="00E73CF4">
      <w:pPr>
        <w:spacing w:line="278" w:lineRule="auto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 xml:space="preserve">L’appelant dans un appel de tiers </w:t>
      </w:r>
      <w:r w:rsidR="00636475">
        <w:rPr>
          <w:rFonts w:ascii="Arial" w:hAnsi="Arial" w:cs="Arial"/>
          <w:lang w:val="fr-CA"/>
        </w:rPr>
        <w:t xml:space="preserve">doit </w:t>
      </w:r>
      <w:r>
        <w:rPr>
          <w:rFonts w:ascii="Arial" w:hAnsi="Arial" w:cs="Arial"/>
          <w:lang w:val="fr-CA"/>
        </w:rPr>
        <w:t xml:space="preserve">utiliser le présent formulaire si les conditions suivantes sont remplies </w:t>
      </w:r>
      <w:r w:rsidRPr="008E4370">
        <w:rPr>
          <w:rFonts w:ascii="Arial" w:hAnsi="Arial" w:cs="Arial"/>
          <w:lang w:val="fr-CA"/>
        </w:rPr>
        <w:t>:</w:t>
      </w:r>
    </w:p>
    <w:p w14:paraId="44BC4679" w14:textId="53952319" w:rsidR="00E73CF4" w:rsidRPr="008E4370" w:rsidRDefault="00E73CF4" w:rsidP="00E73CF4">
      <w:pPr>
        <w:pStyle w:val="ListParagraph"/>
        <w:numPr>
          <w:ilvl w:val="0"/>
          <w:numId w:val="10"/>
        </w:numPr>
        <w:spacing w:line="278" w:lineRule="auto"/>
        <w:ind w:left="714" w:hanging="357"/>
        <w:contextualSpacing w:val="0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 xml:space="preserve">L’appelant a signifié </w:t>
      </w:r>
      <w:r w:rsidR="00876221">
        <w:rPr>
          <w:rFonts w:ascii="Arial" w:hAnsi="Arial" w:cs="Arial"/>
          <w:lang w:val="fr-CA"/>
        </w:rPr>
        <w:t xml:space="preserve">l’avis d’appel </w:t>
      </w:r>
      <w:r>
        <w:rPr>
          <w:rFonts w:ascii="Arial" w:hAnsi="Arial" w:cs="Arial"/>
          <w:lang w:val="fr-CA"/>
        </w:rPr>
        <w:t xml:space="preserve">à la personne visée par l’évaluation (la « personne évaluée ») conformément au </w:t>
      </w:r>
      <w:proofErr w:type="spellStart"/>
      <w:r>
        <w:rPr>
          <w:rFonts w:ascii="Arial" w:hAnsi="Arial" w:cs="Arial"/>
          <w:lang w:val="fr-CA"/>
        </w:rPr>
        <w:t>par</w:t>
      </w:r>
      <w:proofErr w:type="spellEnd"/>
      <w:r>
        <w:rPr>
          <w:rFonts w:ascii="Arial" w:hAnsi="Arial" w:cs="Arial"/>
          <w:lang w:val="fr-CA"/>
        </w:rPr>
        <w:t>. </w:t>
      </w:r>
      <w:r w:rsidRPr="008E4370">
        <w:rPr>
          <w:rFonts w:ascii="Arial" w:hAnsi="Arial" w:cs="Arial"/>
          <w:lang w:val="fr-CA"/>
        </w:rPr>
        <w:t>40</w:t>
      </w:r>
      <w:r>
        <w:rPr>
          <w:rFonts w:ascii="Arial" w:hAnsi="Arial" w:cs="Arial"/>
          <w:lang w:val="fr-CA"/>
        </w:rPr>
        <w:t> </w:t>
      </w:r>
      <w:r w:rsidRPr="008E4370">
        <w:rPr>
          <w:rFonts w:ascii="Arial" w:hAnsi="Arial" w:cs="Arial"/>
          <w:lang w:val="fr-CA"/>
        </w:rPr>
        <w:t xml:space="preserve">(9) </w:t>
      </w:r>
      <w:r>
        <w:rPr>
          <w:rFonts w:ascii="Arial" w:hAnsi="Arial" w:cs="Arial"/>
          <w:lang w:val="fr-CA"/>
        </w:rPr>
        <w:t xml:space="preserve">de la </w:t>
      </w:r>
      <w:r w:rsidRPr="008E4370">
        <w:rPr>
          <w:rFonts w:ascii="Arial" w:hAnsi="Arial" w:cs="Arial"/>
          <w:i/>
          <w:iCs/>
          <w:lang w:val="fr-CA"/>
        </w:rPr>
        <w:t>Loi sur l’évaluation foncière</w:t>
      </w:r>
      <w:r w:rsidRPr="008E4370">
        <w:rPr>
          <w:rFonts w:ascii="Arial" w:hAnsi="Arial" w:cs="Arial"/>
          <w:lang w:val="fr-CA"/>
        </w:rPr>
        <w:t>;</w:t>
      </w:r>
    </w:p>
    <w:p w14:paraId="05E86408" w14:textId="1254EA7A" w:rsidR="00E73CF4" w:rsidRPr="008E4370" w:rsidRDefault="00E73CF4" w:rsidP="00E73CF4">
      <w:pPr>
        <w:pStyle w:val="ListParagraph"/>
        <w:numPr>
          <w:ilvl w:val="0"/>
          <w:numId w:val="10"/>
        </w:numPr>
        <w:spacing w:line="278" w:lineRule="auto"/>
        <w:ind w:left="714" w:hanging="357"/>
        <w:contextualSpacing w:val="0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La personne évaluée n’a pas répondu à l’avis d’appel ou communiqué d’une autre manière avec l’appelant ou avec une autre partie au sujet de l’appel d’un tiers</w:t>
      </w:r>
      <w:r w:rsidRPr="008E4370">
        <w:rPr>
          <w:rFonts w:ascii="Arial" w:hAnsi="Arial" w:cs="Arial"/>
          <w:lang w:val="fr-CA"/>
        </w:rPr>
        <w:t xml:space="preserve">. </w:t>
      </w:r>
      <w:r w:rsidR="00876221">
        <w:rPr>
          <w:rFonts w:ascii="Arial" w:hAnsi="Arial" w:cs="Arial"/>
          <w:lang w:val="fr-CA"/>
        </w:rPr>
        <w:t>Elle n’a notamment pas signifié de réponse dans le délai prévu par le calendrier des procédures pour l’appel d’un tiers</w:t>
      </w:r>
      <w:r w:rsidRPr="008E4370">
        <w:rPr>
          <w:rFonts w:ascii="Arial" w:hAnsi="Arial" w:cs="Arial"/>
          <w:lang w:val="fr-CA"/>
        </w:rPr>
        <w:t xml:space="preserve">; </w:t>
      </w:r>
    </w:p>
    <w:p w14:paraId="1F1C10E3" w14:textId="3D3955E6" w:rsidR="000E52E9" w:rsidRPr="00F932CC" w:rsidRDefault="00876221" w:rsidP="00F932CC">
      <w:pPr>
        <w:pStyle w:val="ListParagraph"/>
        <w:numPr>
          <w:ilvl w:val="0"/>
          <w:numId w:val="10"/>
        </w:numPr>
        <w:spacing w:after="240" w:line="278" w:lineRule="auto"/>
        <w:ind w:left="714" w:hanging="357"/>
        <w:contextualSpacing w:val="0"/>
        <w:rPr>
          <w:rFonts w:ascii="Arial" w:hAnsi="Arial" w:cs="Arial"/>
          <w:lang w:val="fr-CA"/>
        </w:rPr>
      </w:pPr>
      <w:r w:rsidRPr="00F932CC">
        <w:rPr>
          <w:rFonts w:ascii="Arial" w:hAnsi="Arial" w:cs="Arial"/>
          <w:lang w:val="fr-CA"/>
        </w:rPr>
        <w:t>Les parties, autres que la personne évaluée, ont atteint une entente de règlement amiable de l’appel d’un tiers et demandent à la Commission de rendre une décision définitive conforme à leur entente</w:t>
      </w:r>
      <w:r w:rsidR="00E73CF4" w:rsidRPr="00F932CC">
        <w:rPr>
          <w:rFonts w:ascii="Arial" w:hAnsi="Arial" w:cs="Arial"/>
          <w:lang w:val="fr-CA"/>
        </w:rPr>
        <w:t>.</w:t>
      </w:r>
      <w:bookmarkEnd w:id="0"/>
    </w:p>
    <w:p w14:paraId="2D603942" w14:textId="1E62423B" w:rsidR="00D818AE" w:rsidRPr="00E73CF4" w:rsidRDefault="00E73CF4" w:rsidP="00286A9C">
      <w:pPr>
        <w:pStyle w:val="Heading1"/>
        <w:spacing w:before="0" w:beforeAutospacing="0" w:after="0" w:afterAutospacing="0"/>
        <w:rPr>
          <w:bCs w:val="0"/>
          <w:sz w:val="28"/>
          <w:szCs w:val="28"/>
          <w:lang w:val="fr-CA" w:eastAsia="en-US"/>
        </w:rPr>
      </w:pPr>
      <w:bookmarkStart w:id="1" w:name="_Toc223425537"/>
      <w:r>
        <w:rPr>
          <w:bCs w:val="0"/>
          <w:sz w:val="28"/>
          <w:szCs w:val="28"/>
          <w:lang w:val="fr-CA" w:eastAsia="en-US"/>
        </w:rPr>
        <w:t>Quelle est la démarche à suivre</w:t>
      </w:r>
      <w:r w:rsidR="000E52E9" w:rsidRPr="00E73CF4">
        <w:rPr>
          <w:bCs w:val="0"/>
          <w:sz w:val="28"/>
          <w:szCs w:val="28"/>
          <w:lang w:val="fr-CA" w:eastAsia="en-US"/>
        </w:rPr>
        <w:t>?</w:t>
      </w:r>
      <w:r w:rsidR="00876221">
        <w:rPr>
          <w:bCs w:val="0"/>
          <w:sz w:val="28"/>
          <w:szCs w:val="28"/>
          <w:lang w:val="fr-CA" w:eastAsia="en-US"/>
        </w:rPr>
        <w:t xml:space="preserve"> </w:t>
      </w:r>
    </w:p>
    <w:p w14:paraId="729040DD" w14:textId="231563BC" w:rsidR="000E52E9" w:rsidRPr="00E73CF4" w:rsidRDefault="000E52E9" w:rsidP="000E52E9">
      <w:pPr>
        <w:rPr>
          <w:lang w:val="fr-CA"/>
        </w:rPr>
      </w:pPr>
    </w:p>
    <w:p w14:paraId="66AC0FC9" w14:textId="4E0FA6D0" w:rsidR="000E52E9" w:rsidRPr="00E73CF4" w:rsidRDefault="00E73CF4" w:rsidP="0041790A">
      <w:pPr>
        <w:numPr>
          <w:ilvl w:val="0"/>
          <w:numId w:val="7"/>
        </w:numPr>
        <w:rPr>
          <w:rFonts w:ascii="Arial" w:hAnsi="Arial" w:cs="Arial"/>
          <w:szCs w:val="22"/>
          <w:lang w:val="fr-CA"/>
        </w:rPr>
      </w:pPr>
      <w:r>
        <w:rPr>
          <w:rFonts w:ascii="Arial" w:hAnsi="Arial" w:cs="Arial"/>
          <w:szCs w:val="22"/>
          <w:lang w:val="fr-CA"/>
        </w:rPr>
        <w:t xml:space="preserve">Remplir le formulaire </w:t>
      </w:r>
      <w:r w:rsidRPr="00F03ED2">
        <w:rPr>
          <w:rFonts w:ascii="Arial" w:hAnsi="Arial" w:cs="Arial"/>
          <w:szCs w:val="22"/>
          <w:lang w:val="fr-CA"/>
        </w:rPr>
        <w:t xml:space="preserve">Demande </w:t>
      </w:r>
      <w:r w:rsidR="00636475">
        <w:rPr>
          <w:rFonts w:ascii="Arial" w:hAnsi="Arial" w:cs="Arial"/>
          <w:szCs w:val="22"/>
          <w:lang w:val="fr-CA"/>
        </w:rPr>
        <w:t>d’appliquer un procès-verbal de règlement</w:t>
      </w:r>
      <w:r w:rsidRPr="00F03ED2">
        <w:rPr>
          <w:rFonts w:ascii="Arial" w:hAnsi="Arial" w:cs="Arial"/>
          <w:szCs w:val="22"/>
          <w:lang w:val="fr-CA"/>
        </w:rPr>
        <w:t xml:space="preserve"> – Appel</w:t>
      </w:r>
      <w:r w:rsidR="00876221" w:rsidRPr="00F03ED2">
        <w:rPr>
          <w:rFonts w:ascii="Arial" w:hAnsi="Arial" w:cs="Arial"/>
          <w:szCs w:val="22"/>
          <w:lang w:val="fr-CA"/>
        </w:rPr>
        <w:t>s</w:t>
      </w:r>
      <w:r w:rsidRPr="00F03ED2">
        <w:rPr>
          <w:rFonts w:ascii="Arial" w:hAnsi="Arial" w:cs="Arial"/>
          <w:szCs w:val="22"/>
          <w:lang w:val="fr-CA"/>
        </w:rPr>
        <w:t xml:space="preserve"> d’un tiers SEULEMENT</w:t>
      </w:r>
      <w:r w:rsidR="004C6616" w:rsidRPr="00F03ED2">
        <w:rPr>
          <w:rFonts w:ascii="Arial" w:hAnsi="Arial" w:cs="Arial"/>
          <w:szCs w:val="22"/>
          <w:lang w:val="fr-CA"/>
        </w:rPr>
        <w:t>.</w:t>
      </w:r>
      <w:r w:rsidR="00EE3C6C" w:rsidRPr="00E73CF4">
        <w:rPr>
          <w:rFonts w:ascii="Arial" w:hAnsi="Arial" w:cs="Arial"/>
          <w:szCs w:val="22"/>
          <w:lang w:val="fr-CA"/>
        </w:rPr>
        <w:t xml:space="preserve"> </w:t>
      </w:r>
      <w:r w:rsidR="00881650" w:rsidRPr="00E73CF4">
        <w:rPr>
          <w:rFonts w:ascii="Arial" w:hAnsi="Arial" w:cs="Arial"/>
          <w:szCs w:val="22"/>
          <w:lang w:val="fr-CA"/>
        </w:rPr>
        <w:t xml:space="preserve"> </w:t>
      </w:r>
    </w:p>
    <w:p w14:paraId="7904AC90" w14:textId="556B8CF8" w:rsidR="00951F85" w:rsidRPr="00E73CF4" w:rsidRDefault="00E73CF4" w:rsidP="00477F4C">
      <w:pPr>
        <w:pStyle w:val="ListParagraph"/>
        <w:numPr>
          <w:ilvl w:val="0"/>
          <w:numId w:val="7"/>
        </w:numPr>
        <w:rPr>
          <w:rFonts w:ascii="Arial" w:hAnsi="Arial" w:cs="Arial"/>
          <w:szCs w:val="22"/>
          <w:lang w:val="fr-CA"/>
        </w:rPr>
      </w:pPr>
      <w:r>
        <w:rPr>
          <w:rFonts w:ascii="Arial" w:hAnsi="Arial" w:cs="Arial"/>
          <w:szCs w:val="22"/>
          <w:lang w:val="fr-CA"/>
        </w:rPr>
        <w:t>Joindre tous les renseignements et documents requis, ainsi que l’affidavit fait sous serment (voir les renseignements à ce sujet ci-dessous</w:t>
      </w:r>
      <w:r w:rsidR="00951F85" w:rsidRPr="00E73CF4">
        <w:rPr>
          <w:rFonts w:ascii="Arial" w:hAnsi="Arial" w:cs="Arial"/>
          <w:szCs w:val="22"/>
          <w:lang w:val="fr-CA"/>
        </w:rPr>
        <w:t>)</w:t>
      </w:r>
      <w:r>
        <w:rPr>
          <w:rFonts w:ascii="Arial" w:hAnsi="Arial" w:cs="Arial"/>
          <w:szCs w:val="22"/>
          <w:lang w:val="fr-CA"/>
        </w:rPr>
        <w:t>.</w:t>
      </w:r>
    </w:p>
    <w:p w14:paraId="389239DD" w14:textId="10405597" w:rsidR="00EC48D7" w:rsidRPr="00E73CF4" w:rsidRDefault="00E73CF4" w:rsidP="0030619C">
      <w:pPr>
        <w:numPr>
          <w:ilvl w:val="0"/>
          <w:numId w:val="7"/>
        </w:numPr>
        <w:rPr>
          <w:rFonts w:ascii="Arial" w:hAnsi="Arial" w:cs="Arial"/>
          <w:szCs w:val="22"/>
          <w:lang w:val="fr-CA"/>
        </w:rPr>
      </w:pPr>
      <w:r>
        <w:rPr>
          <w:rFonts w:ascii="Arial" w:hAnsi="Arial" w:cs="Arial"/>
          <w:szCs w:val="22"/>
          <w:lang w:val="fr-CA"/>
        </w:rPr>
        <w:t xml:space="preserve">Envoyer le formulaire à l’adresse de courriel de la CRÉF, avec une copie à toutes les parties </w:t>
      </w:r>
      <w:r w:rsidR="000E52E9" w:rsidRPr="00E73CF4">
        <w:rPr>
          <w:rFonts w:ascii="Arial" w:hAnsi="Arial" w:cs="Arial"/>
          <w:szCs w:val="22"/>
          <w:lang w:val="fr-CA"/>
        </w:rPr>
        <w:t>:</w:t>
      </w:r>
    </w:p>
    <w:p w14:paraId="5619C353" w14:textId="0B923E6F" w:rsidR="00286A9C" w:rsidRPr="00E73CF4" w:rsidRDefault="00E73CF4" w:rsidP="00F932CC">
      <w:pPr>
        <w:spacing w:after="240"/>
        <w:ind w:left="1440"/>
        <w:rPr>
          <w:lang w:val="fr-CA"/>
        </w:rPr>
      </w:pPr>
      <w:r>
        <w:rPr>
          <w:rFonts w:ascii="Arial" w:hAnsi="Arial" w:cs="Arial"/>
          <w:szCs w:val="22"/>
          <w:lang w:val="fr-CA"/>
        </w:rPr>
        <w:t xml:space="preserve">Courriel </w:t>
      </w:r>
      <w:r w:rsidR="00EC48D7" w:rsidRPr="00E73CF4">
        <w:rPr>
          <w:rFonts w:ascii="Arial" w:hAnsi="Arial" w:cs="Arial"/>
          <w:szCs w:val="22"/>
          <w:lang w:val="fr-CA"/>
        </w:rPr>
        <w:t xml:space="preserve">: </w:t>
      </w:r>
      <w:hyperlink r:id="rId9" w:history="1">
        <w:r w:rsidR="000E52E9" w:rsidRPr="00E73CF4">
          <w:rPr>
            <w:rStyle w:val="Hyperlink"/>
            <w:sz w:val="24"/>
            <w:szCs w:val="22"/>
            <w:lang w:val="fr-CA"/>
          </w:rPr>
          <w:t>ARB.Registrar@ontario.ca</w:t>
        </w:r>
      </w:hyperlink>
      <w:r w:rsidR="000E52E9" w:rsidRPr="00E73CF4">
        <w:rPr>
          <w:rFonts w:ascii="Arial" w:hAnsi="Arial" w:cs="Arial"/>
          <w:b/>
          <w:bCs/>
          <w:szCs w:val="22"/>
          <w:lang w:val="fr-CA"/>
        </w:rPr>
        <w:t xml:space="preserve"> </w:t>
      </w:r>
    </w:p>
    <w:p w14:paraId="3567390B" w14:textId="12E20E86" w:rsidR="008435A9" w:rsidRPr="00E73CF4" w:rsidRDefault="00E73CF4" w:rsidP="00286A9C">
      <w:pPr>
        <w:pStyle w:val="Heading1"/>
        <w:spacing w:before="0" w:beforeAutospacing="0" w:after="0" w:afterAutospacing="0"/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>Que se passe-t-il après que la CRÉF reçoit mon formulaire</w:t>
      </w:r>
      <w:r w:rsidR="00DB55D4" w:rsidRPr="00E73CF4">
        <w:rPr>
          <w:sz w:val="28"/>
          <w:szCs w:val="28"/>
          <w:lang w:val="fr-CA"/>
        </w:rPr>
        <w:t>?</w:t>
      </w:r>
    </w:p>
    <w:p w14:paraId="5404386E" w14:textId="77777777" w:rsidR="00286A9C" w:rsidRPr="00E73CF4" w:rsidRDefault="00286A9C" w:rsidP="00286A9C">
      <w:pPr>
        <w:rPr>
          <w:rFonts w:ascii="Arial" w:hAnsi="Arial" w:cs="Arial"/>
          <w:lang w:val="fr-CA"/>
        </w:rPr>
      </w:pPr>
    </w:p>
    <w:p w14:paraId="2F01E1A7" w14:textId="46DC4B61" w:rsidR="00286A9C" w:rsidRPr="00E73CF4" w:rsidRDefault="00E73CF4" w:rsidP="00F932CC">
      <w:pPr>
        <w:spacing w:after="240"/>
        <w:rPr>
          <w:lang w:val="fr-CA"/>
        </w:rPr>
      </w:pPr>
      <w:r>
        <w:rPr>
          <w:rFonts w:ascii="Arial" w:hAnsi="Arial" w:cs="Arial"/>
          <w:lang w:val="fr-CA"/>
        </w:rPr>
        <w:t xml:space="preserve">La CRÉF examine le formulaire pour vérifier qu’il contient tous les renseignements demandés et que tous les documents requis y sont annexés. Une fois cet examen terminé, le formulaire est transmis à un </w:t>
      </w:r>
      <w:r w:rsidR="00636475">
        <w:rPr>
          <w:rFonts w:ascii="Arial" w:hAnsi="Arial" w:cs="Arial"/>
          <w:lang w:val="fr-CA"/>
        </w:rPr>
        <w:t>vice-président</w:t>
      </w:r>
      <w:r>
        <w:rPr>
          <w:rFonts w:ascii="Arial" w:hAnsi="Arial" w:cs="Arial"/>
          <w:lang w:val="fr-CA"/>
        </w:rPr>
        <w:t xml:space="preserve"> de la CRÉF</w:t>
      </w:r>
      <w:r w:rsidR="009C11D6">
        <w:rPr>
          <w:rFonts w:ascii="Arial" w:hAnsi="Arial" w:cs="Arial"/>
          <w:lang w:val="fr-CA"/>
        </w:rPr>
        <w:t xml:space="preserve"> pour être jugé.</w:t>
      </w:r>
    </w:p>
    <w:p w14:paraId="6ECE835F" w14:textId="37C9776A" w:rsidR="00951F85" w:rsidRPr="00F932CC" w:rsidRDefault="004A1808" w:rsidP="00F932CC">
      <w:pPr>
        <w:pStyle w:val="Heading1"/>
        <w:rPr>
          <w:sz w:val="28"/>
          <w:szCs w:val="28"/>
          <w:lang w:val="fr-CA"/>
        </w:rPr>
      </w:pPr>
      <w:r w:rsidRPr="00F932CC">
        <w:rPr>
          <w:sz w:val="28"/>
          <w:szCs w:val="28"/>
          <w:lang w:val="fr-CA"/>
        </w:rPr>
        <w:t>Quels renseignements faut-il inclure dans l’affidavit fait sous serment</w:t>
      </w:r>
      <w:r w:rsidR="00951F85" w:rsidRPr="00F932CC">
        <w:rPr>
          <w:sz w:val="28"/>
          <w:szCs w:val="28"/>
          <w:lang w:val="fr-CA"/>
        </w:rPr>
        <w:t>?</w:t>
      </w:r>
    </w:p>
    <w:p w14:paraId="7CCD0CE2" w14:textId="5858BDE9" w:rsidR="00951F85" w:rsidRPr="00E73CF4" w:rsidRDefault="004A1808" w:rsidP="00F932CC">
      <w:pPr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 xml:space="preserve">L’appelant doit joindre au formulaire un affidavit fait sous serment qui contient les renseignements suivants </w:t>
      </w:r>
      <w:r w:rsidR="00951F85" w:rsidRPr="00E73CF4">
        <w:rPr>
          <w:rFonts w:ascii="Arial" w:hAnsi="Arial" w:cs="Arial"/>
          <w:lang w:val="fr-CA"/>
        </w:rPr>
        <w:t>:</w:t>
      </w:r>
    </w:p>
    <w:p w14:paraId="61742E17" w14:textId="548D70DD" w:rsidR="00951F85" w:rsidRPr="00E73CF4" w:rsidRDefault="004A1808" w:rsidP="00951F85">
      <w:pPr>
        <w:pStyle w:val="ListParagraph"/>
        <w:numPr>
          <w:ilvl w:val="0"/>
          <w:numId w:val="11"/>
        </w:numPr>
        <w:spacing w:line="276" w:lineRule="auto"/>
        <w:ind w:left="1077" w:hanging="357"/>
        <w:contextualSpacing w:val="0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Une déclaration indiquant la date à laquelle l’appelant a signifié l’avis d’appel à la personne visée par l’évaluation</w:t>
      </w:r>
      <w:r w:rsidR="00951F85" w:rsidRPr="00E73CF4">
        <w:rPr>
          <w:rFonts w:ascii="Arial" w:hAnsi="Arial" w:cs="Arial"/>
          <w:lang w:val="fr-CA"/>
        </w:rPr>
        <w:t>;</w:t>
      </w:r>
    </w:p>
    <w:p w14:paraId="41190917" w14:textId="5CA0C77B" w:rsidR="00951F85" w:rsidRPr="00E73CF4" w:rsidRDefault="004A1808" w:rsidP="00951F85">
      <w:pPr>
        <w:pStyle w:val="ListParagraph"/>
        <w:numPr>
          <w:ilvl w:val="0"/>
          <w:numId w:val="11"/>
        </w:numPr>
        <w:spacing w:after="120" w:line="276" w:lineRule="auto"/>
        <w:ind w:left="1077" w:hanging="357"/>
        <w:contextualSpacing w:val="0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lastRenderedPageBreak/>
        <w:t>Une déclaration indiquant le mode de signification de l’avis d’appel</w:t>
      </w:r>
      <w:r w:rsidR="00951F85" w:rsidRPr="00E73CF4">
        <w:rPr>
          <w:rFonts w:ascii="Arial" w:hAnsi="Arial" w:cs="Arial"/>
          <w:lang w:val="fr-CA"/>
        </w:rPr>
        <w:t>;</w:t>
      </w:r>
    </w:p>
    <w:p w14:paraId="787E7DEF" w14:textId="3CFE5623" w:rsidR="00951F85" w:rsidRPr="00E73CF4" w:rsidRDefault="004A1808" w:rsidP="00951F85">
      <w:pPr>
        <w:pStyle w:val="ListParagraph"/>
        <w:numPr>
          <w:ilvl w:val="0"/>
          <w:numId w:val="11"/>
        </w:numPr>
        <w:spacing w:after="120" w:line="276" w:lineRule="auto"/>
        <w:ind w:left="1077" w:hanging="357"/>
        <w:contextualSpacing w:val="0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 xml:space="preserve">Si </w:t>
      </w:r>
      <w:r w:rsidR="00876221">
        <w:rPr>
          <w:rFonts w:ascii="Arial" w:hAnsi="Arial" w:cs="Arial"/>
          <w:lang w:val="fr-CA"/>
        </w:rPr>
        <w:t>une</w:t>
      </w:r>
      <w:r>
        <w:rPr>
          <w:rFonts w:ascii="Arial" w:hAnsi="Arial" w:cs="Arial"/>
          <w:lang w:val="fr-CA"/>
        </w:rPr>
        <w:t xml:space="preserve"> preuve de signification a été remise par le fournisseur du service de livraison, une copie de </w:t>
      </w:r>
      <w:r w:rsidR="00876221">
        <w:rPr>
          <w:rFonts w:ascii="Arial" w:hAnsi="Arial" w:cs="Arial"/>
          <w:lang w:val="fr-CA"/>
        </w:rPr>
        <w:t>cette preuve de</w:t>
      </w:r>
      <w:r>
        <w:rPr>
          <w:rFonts w:ascii="Arial" w:hAnsi="Arial" w:cs="Arial"/>
          <w:lang w:val="fr-CA"/>
        </w:rPr>
        <w:t xml:space="preserve"> signification jointe </w:t>
      </w:r>
      <w:r w:rsidR="00876221">
        <w:rPr>
          <w:rFonts w:ascii="Arial" w:hAnsi="Arial" w:cs="Arial"/>
          <w:lang w:val="fr-CA"/>
        </w:rPr>
        <w:t xml:space="preserve">à l’affidavit </w:t>
      </w:r>
      <w:r>
        <w:rPr>
          <w:rFonts w:ascii="Arial" w:hAnsi="Arial" w:cs="Arial"/>
          <w:lang w:val="fr-CA"/>
        </w:rPr>
        <w:t>sous la forme d’une pièce</w:t>
      </w:r>
      <w:r w:rsidR="00951F85" w:rsidRPr="00E73CF4">
        <w:rPr>
          <w:rFonts w:ascii="Arial" w:hAnsi="Arial" w:cs="Arial"/>
          <w:lang w:val="fr-CA"/>
        </w:rPr>
        <w:t>.</w:t>
      </w:r>
    </w:p>
    <w:p w14:paraId="27B23E13" w14:textId="7B8641CB" w:rsidR="00951F85" w:rsidRPr="00E73CF4" w:rsidRDefault="004A1808" w:rsidP="00951F85">
      <w:pPr>
        <w:pStyle w:val="ListParagraph"/>
        <w:numPr>
          <w:ilvl w:val="0"/>
          <w:numId w:val="11"/>
        </w:numPr>
        <w:spacing w:after="120" w:line="276" w:lineRule="auto"/>
        <w:ind w:left="1077" w:hanging="357"/>
        <w:contextualSpacing w:val="0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 xml:space="preserve">Si </w:t>
      </w:r>
      <w:r w:rsidR="00876221">
        <w:rPr>
          <w:rFonts w:ascii="Arial" w:hAnsi="Arial" w:cs="Arial"/>
          <w:lang w:val="fr-CA"/>
        </w:rPr>
        <w:t>une</w:t>
      </w:r>
      <w:r>
        <w:rPr>
          <w:rFonts w:ascii="Arial" w:hAnsi="Arial" w:cs="Arial"/>
          <w:lang w:val="fr-CA"/>
        </w:rPr>
        <w:t xml:space="preserve"> preuve de signification n’a pas été remise par le fournisseur du service de livraison</w:t>
      </w:r>
      <w:r w:rsidR="00951F85" w:rsidRPr="00E73CF4">
        <w:rPr>
          <w:rFonts w:ascii="Arial" w:hAnsi="Arial" w:cs="Arial"/>
          <w:lang w:val="fr-CA"/>
        </w:rPr>
        <w:t xml:space="preserve">, </w:t>
      </w:r>
      <w:r>
        <w:rPr>
          <w:rFonts w:ascii="Arial" w:hAnsi="Arial" w:cs="Arial"/>
          <w:lang w:val="fr-CA"/>
        </w:rPr>
        <w:t>une déclaration précisant que l’avis d’appel n’a pas été retourné à l’appelant et que ce dernier n’a pas reçu de communication de la personne évaluée au sujet de l’appel d’un tiers</w:t>
      </w:r>
      <w:r w:rsidR="00951F85" w:rsidRPr="00E73CF4">
        <w:rPr>
          <w:rFonts w:ascii="Arial" w:hAnsi="Arial" w:cs="Arial"/>
          <w:lang w:val="fr-CA"/>
        </w:rPr>
        <w:t>.</w:t>
      </w:r>
    </w:p>
    <w:p w14:paraId="7C04294E" w14:textId="0C6BA099" w:rsidR="00951F85" w:rsidRPr="00E73CF4" w:rsidRDefault="004A1808" w:rsidP="00951F85">
      <w:pPr>
        <w:pStyle w:val="ListParagraph"/>
        <w:numPr>
          <w:ilvl w:val="0"/>
          <w:numId w:val="11"/>
        </w:numPr>
        <w:spacing w:after="120" w:line="276" w:lineRule="auto"/>
        <w:ind w:left="1077" w:hanging="357"/>
        <w:contextualSpacing w:val="0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 xml:space="preserve">Une déclaration indiquant que l’appelant a demandé à la MPAC si cette dernière avait reçu une communication de la personne évaluée au sujet de l’appel d’un tiers et une description des renseignements fournis par la </w:t>
      </w:r>
      <w:r w:rsidR="00951F85" w:rsidRPr="00E73CF4">
        <w:rPr>
          <w:rFonts w:ascii="Arial" w:hAnsi="Arial" w:cs="Arial"/>
          <w:lang w:val="fr-CA"/>
        </w:rPr>
        <w:t xml:space="preserve">MPAC </w:t>
      </w:r>
      <w:r>
        <w:rPr>
          <w:rFonts w:ascii="Arial" w:hAnsi="Arial" w:cs="Arial"/>
          <w:lang w:val="fr-CA"/>
        </w:rPr>
        <w:t>en réponse</w:t>
      </w:r>
      <w:r w:rsidR="00951F85" w:rsidRPr="00E73CF4">
        <w:rPr>
          <w:rFonts w:ascii="Arial" w:hAnsi="Arial" w:cs="Arial"/>
          <w:lang w:val="fr-CA"/>
        </w:rPr>
        <w:t xml:space="preserve">. </w:t>
      </w:r>
      <w:r>
        <w:rPr>
          <w:rFonts w:ascii="Arial" w:hAnsi="Arial" w:cs="Arial"/>
          <w:lang w:val="fr-CA"/>
        </w:rPr>
        <w:t xml:space="preserve">Ces renseignements doivent indiquer si la MPAC a reçu une réponse de la personne évaluée. Si la MPAC a fourni un courriel confirmant ces renseignements, ce courriel doit être joint </w:t>
      </w:r>
      <w:r w:rsidR="00876221">
        <w:rPr>
          <w:rFonts w:ascii="Arial" w:hAnsi="Arial" w:cs="Arial"/>
          <w:lang w:val="fr-CA"/>
        </w:rPr>
        <w:t xml:space="preserve">à l’affidavit </w:t>
      </w:r>
      <w:r>
        <w:rPr>
          <w:rFonts w:ascii="Arial" w:hAnsi="Arial" w:cs="Arial"/>
          <w:lang w:val="fr-CA"/>
        </w:rPr>
        <w:t>comme pièce</w:t>
      </w:r>
      <w:r w:rsidR="00951F85" w:rsidRPr="00E73CF4">
        <w:rPr>
          <w:rFonts w:ascii="Arial" w:hAnsi="Arial" w:cs="Arial"/>
          <w:lang w:val="fr-CA"/>
        </w:rPr>
        <w:t>.</w:t>
      </w:r>
    </w:p>
    <w:p w14:paraId="46B17D56" w14:textId="6D2600AA" w:rsidR="00951F85" w:rsidRPr="00E73CF4" w:rsidRDefault="004A1808" w:rsidP="00951F85">
      <w:pPr>
        <w:pStyle w:val="ListParagraph"/>
        <w:numPr>
          <w:ilvl w:val="0"/>
          <w:numId w:val="11"/>
        </w:numPr>
        <w:spacing w:after="120" w:line="276" w:lineRule="auto"/>
        <w:ind w:left="1077" w:hanging="357"/>
        <w:contextualSpacing w:val="0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 xml:space="preserve">Une déclaration indiquant la date à laquelle l’appelant a signifié l’exposé des questions en litige </w:t>
      </w:r>
      <w:r w:rsidR="00197223">
        <w:rPr>
          <w:rFonts w:ascii="Arial" w:hAnsi="Arial" w:cs="Arial"/>
          <w:lang w:val="fr-CA"/>
        </w:rPr>
        <w:t xml:space="preserve">et le procès-verbal de règlement </w:t>
      </w:r>
      <w:r>
        <w:rPr>
          <w:rFonts w:ascii="Arial" w:hAnsi="Arial" w:cs="Arial"/>
          <w:lang w:val="fr-CA"/>
        </w:rPr>
        <w:t xml:space="preserve">à la personne évaluée, en fournissant des précisions sur la signification de la même manière qu’aux points </w:t>
      </w:r>
      <w:r w:rsidR="00951F85" w:rsidRPr="00E73CF4">
        <w:rPr>
          <w:rFonts w:ascii="Arial" w:hAnsi="Arial" w:cs="Arial"/>
          <w:lang w:val="fr-CA"/>
        </w:rPr>
        <w:t xml:space="preserve">2, 3 </w:t>
      </w:r>
      <w:r>
        <w:rPr>
          <w:rFonts w:ascii="Arial" w:hAnsi="Arial" w:cs="Arial"/>
          <w:lang w:val="fr-CA"/>
        </w:rPr>
        <w:t>et</w:t>
      </w:r>
      <w:r w:rsidR="00951F85" w:rsidRPr="00E73CF4">
        <w:rPr>
          <w:rFonts w:ascii="Arial" w:hAnsi="Arial" w:cs="Arial"/>
          <w:lang w:val="fr-CA"/>
        </w:rPr>
        <w:t xml:space="preserve"> 4 </w:t>
      </w:r>
      <w:r>
        <w:rPr>
          <w:rFonts w:ascii="Arial" w:hAnsi="Arial" w:cs="Arial"/>
          <w:lang w:val="fr-CA"/>
        </w:rPr>
        <w:t>ci-dessus</w:t>
      </w:r>
      <w:r w:rsidR="00951F85" w:rsidRPr="00E73CF4">
        <w:rPr>
          <w:rFonts w:ascii="Arial" w:hAnsi="Arial" w:cs="Arial"/>
          <w:lang w:val="fr-CA"/>
        </w:rPr>
        <w:t xml:space="preserve">. </w:t>
      </w:r>
    </w:p>
    <w:p w14:paraId="22222A94" w14:textId="59C32A7B" w:rsidR="00951F85" w:rsidRPr="00E73CF4" w:rsidRDefault="004A1808" w:rsidP="00951F85">
      <w:pPr>
        <w:pStyle w:val="ListParagraph"/>
        <w:numPr>
          <w:ilvl w:val="0"/>
          <w:numId w:val="11"/>
        </w:numPr>
        <w:spacing w:after="120" w:line="276" w:lineRule="auto"/>
        <w:ind w:left="1077" w:hanging="357"/>
        <w:contextualSpacing w:val="0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 xml:space="preserve">Une déclaration confirmant que les parties, autres que la personne évaluée, ont réglé à l’amiable l’appel d’un tiers (si les parties ont préparé une entente de règlement par écrit, joindre une copie de cette entente </w:t>
      </w:r>
      <w:r w:rsidR="00F03ED2">
        <w:rPr>
          <w:rFonts w:ascii="Arial" w:hAnsi="Arial" w:cs="Arial"/>
          <w:lang w:val="fr-CA"/>
        </w:rPr>
        <w:t xml:space="preserve">à l’affidavit </w:t>
      </w:r>
      <w:r>
        <w:rPr>
          <w:rFonts w:ascii="Arial" w:hAnsi="Arial" w:cs="Arial"/>
          <w:lang w:val="fr-CA"/>
        </w:rPr>
        <w:t>comme pièce</w:t>
      </w:r>
      <w:r w:rsidR="00951F85" w:rsidRPr="00E73CF4">
        <w:rPr>
          <w:rFonts w:ascii="Arial" w:hAnsi="Arial" w:cs="Arial"/>
          <w:lang w:val="fr-CA"/>
        </w:rPr>
        <w:t>).</w:t>
      </w:r>
    </w:p>
    <w:p w14:paraId="13C83D8B" w14:textId="58B4F41C" w:rsidR="00951F85" w:rsidRPr="00E73CF4" w:rsidRDefault="004A1808" w:rsidP="00951F85">
      <w:pPr>
        <w:pStyle w:val="ListParagraph"/>
        <w:numPr>
          <w:ilvl w:val="0"/>
          <w:numId w:val="11"/>
        </w:numPr>
        <w:spacing w:after="120" w:line="276" w:lineRule="auto"/>
        <w:ind w:left="1077" w:hanging="357"/>
        <w:contextualSpacing w:val="0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Une déclaration précisant les conditions exactes à inclure dans la décision de la Commission</w:t>
      </w:r>
      <w:r w:rsidR="00951F85" w:rsidRPr="00E73CF4">
        <w:rPr>
          <w:rFonts w:ascii="Arial" w:hAnsi="Arial" w:cs="Arial"/>
          <w:lang w:val="fr-CA"/>
        </w:rPr>
        <w:t xml:space="preserve">.  </w:t>
      </w:r>
    </w:p>
    <w:tbl>
      <w:tblPr>
        <w:tblStyle w:val="TableGrid"/>
        <w:tblW w:w="0" w:type="auto"/>
        <w:tblInd w:w="959" w:type="dxa"/>
        <w:tblLook w:val="04A0" w:firstRow="1" w:lastRow="0" w:firstColumn="1" w:lastColumn="0" w:noHBand="0" w:noVBand="1"/>
      </w:tblPr>
      <w:tblGrid>
        <w:gridCol w:w="2292"/>
        <w:gridCol w:w="6928"/>
      </w:tblGrid>
      <w:tr w:rsidR="00955933" w:rsidRPr="00E73CF4" w14:paraId="359F41A4" w14:textId="77777777" w:rsidTr="00FB3CA2">
        <w:trPr>
          <w:trHeight w:val="1832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13D89E2F" w14:textId="77777777" w:rsidR="00955933" w:rsidRPr="00E73CF4" w:rsidRDefault="00955933" w:rsidP="00FB3CA2">
            <w:pPr>
              <w:autoSpaceDE w:val="0"/>
              <w:autoSpaceDN w:val="0"/>
              <w:adjustRightInd w:val="0"/>
              <w:spacing w:before="80"/>
              <w:jc w:val="center"/>
              <w:rPr>
                <w:sz w:val="16"/>
                <w:lang w:val="fr-CA"/>
              </w:rPr>
            </w:pPr>
            <w:r w:rsidRPr="00E73CF4">
              <w:rPr>
                <w:noProof/>
                <w:color w:val="0000FF"/>
                <w:lang w:val="fr-CA" w:eastAsia="en-CA"/>
              </w:rPr>
              <w:drawing>
                <wp:inline distT="0" distB="0" distL="0" distR="0" wp14:anchorId="25262E88" wp14:editId="44D3E1A9">
                  <wp:extent cx="1318260" cy="1135380"/>
                  <wp:effectExtent l="0" t="0" r="0" b="7620"/>
                  <wp:docPr id="2" name="Picture 2" descr="Ontario Cr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Ontario Cr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260" cy="1135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3B40" w14:textId="77777777" w:rsidR="00955933" w:rsidRPr="00E73CF4" w:rsidRDefault="00955933" w:rsidP="00FB3CA2">
            <w:pPr>
              <w:rPr>
                <w:rFonts w:ascii="Arial" w:hAnsi="Arial" w:cs="Arial"/>
                <w:bCs/>
                <w:color w:val="000000"/>
                <w:sz w:val="16"/>
                <w:szCs w:val="16"/>
                <w:lang w:val="fr-CA" w:eastAsia="en-CA"/>
              </w:rPr>
            </w:pPr>
          </w:p>
          <w:p w14:paraId="44D4EFB7" w14:textId="77777777" w:rsidR="004A1808" w:rsidRDefault="004A1808" w:rsidP="004A1808">
            <w:pPr>
              <w:jc w:val="both"/>
              <w:rPr>
                <w:rFonts w:ascii="Arial" w:hAnsi="Arial" w:cs="Arial"/>
                <w:bCs/>
                <w:color w:val="000000"/>
                <w:sz w:val="14"/>
                <w:szCs w:val="14"/>
                <w:lang w:val="fr-CA"/>
              </w:rPr>
            </w:pPr>
            <w:r w:rsidRPr="00B43EA0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fr-CA"/>
              </w:rPr>
              <w:t xml:space="preserve">Tribunaux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fr-CA"/>
              </w:rPr>
              <w:t>décisionnels</w:t>
            </w:r>
            <w:r w:rsidRPr="00B43EA0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fr-CA"/>
              </w:rPr>
              <w:t xml:space="preserve"> Ontario </w:t>
            </w: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val="fr-CA"/>
              </w:rPr>
              <w:t>se compose de 14 tribunaux dont la mission est de régler des différends dans les secteurs des services sociaux, de l’évaluation foncière, de la sécurité et de la délivrance de permis.</w:t>
            </w:r>
          </w:p>
          <w:p w14:paraId="37FD14AD" w14:textId="77777777" w:rsidR="004A1808" w:rsidRDefault="004A1808" w:rsidP="004A1808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val="fr-CA"/>
              </w:rPr>
            </w:pPr>
          </w:p>
          <w:p w14:paraId="030EF87C" w14:textId="193332EC" w:rsidR="004A1808" w:rsidRPr="00C018A5" w:rsidRDefault="004A1808" w:rsidP="004A1808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val="fr-CA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fr-CA"/>
              </w:rPr>
              <w:t>La Commission de révision de l’évaluation foncière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fr-CA"/>
              </w:rPr>
              <w:t xml:space="preserve"> tranche des appels déposés par des personnes qui estiment qu’une erreur a été commise dans la valeur évaluée ou dans la classification d’un bien-fonds, et traite de certains types d’appels relatifs aux impôts fonciers en vertu de la </w:t>
            </w:r>
            <w:r w:rsidRPr="00F03ED2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fr-CA"/>
              </w:rPr>
              <w:t>Loi sur les municipalités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fr-CA"/>
              </w:rPr>
              <w:t xml:space="preserve"> et de la </w:t>
            </w:r>
            <w:r w:rsidRPr="00F03ED2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fr-CA"/>
              </w:rPr>
              <w:t>Loi sur la cité de Toronto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fr-CA"/>
              </w:rPr>
              <w:t>. Pour plus de renseignements :</w:t>
            </w:r>
          </w:p>
          <w:p w14:paraId="705F5308" w14:textId="77777777" w:rsidR="004A1808" w:rsidRPr="00B43EA0" w:rsidRDefault="004A1808" w:rsidP="004A1808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val="fr-CA"/>
              </w:rPr>
            </w:pPr>
          </w:p>
          <w:p w14:paraId="14015DA3" w14:textId="77777777" w:rsidR="004A1808" w:rsidRPr="00B43EA0" w:rsidRDefault="004A1808" w:rsidP="004A1808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val="fr-CA"/>
              </w:rPr>
            </w:pPr>
            <w:r w:rsidRPr="00B43EA0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fr-CA"/>
              </w:rPr>
              <w:t xml:space="preserve">Tribunaux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fr-CA"/>
              </w:rPr>
              <w:t>décisionnels</w:t>
            </w:r>
            <w:r w:rsidRPr="00B43EA0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fr-CA"/>
              </w:rPr>
              <w:t xml:space="preserve"> Ontario</w:t>
            </w:r>
          </w:p>
          <w:p w14:paraId="1371E6D9" w14:textId="77777777" w:rsidR="004A1808" w:rsidRPr="00B43EA0" w:rsidRDefault="004A1808" w:rsidP="004A18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4"/>
                <w:szCs w:val="14"/>
                <w:lang w:val="fr-CA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fr-CA"/>
              </w:rPr>
              <w:t xml:space="preserve">15 rue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  <w:lang w:val="fr-CA"/>
              </w:rPr>
              <w:t>Grosvenor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  <w:lang w:val="fr-CA"/>
              </w:rPr>
              <w:t>, rez-de-chaussée, Toronto (Ontario) M7A 2G6</w:t>
            </w:r>
          </w:p>
          <w:p w14:paraId="5D3185F0" w14:textId="13B1C1E4" w:rsidR="00955933" w:rsidRPr="00F932CC" w:rsidRDefault="004A1808" w:rsidP="004A18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en-CA" w:eastAsia="en-CA"/>
              </w:rPr>
            </w:pPr>
            <w:r w:rsidRPr="00F932CC">
              <w:rPr>
                <w:rFonts w:ascii="Arial" w:hAnsi="Arial" w:cs="Arial"/>
                <w:color w:val="000000"/>
                <w:sz w:val="14"/>
                <w:szCs w:val="14"/>
                <w:lang w:val="en-CA"/>
              </w:rPr>
              <w:t>Site Web :</w:t>
            </w:r>
            <w:r w:rsidRPr="00F932CC">
              <w:rPr>
                <w:rFonts w:ascii="Arial" w:hAnsi="Arial" w:cs="Arial"/>
                <w:color w:val="000000"/>
                <w:sz w:val="14"/>
                <w:szCs w:val="14"/>
                <w:lang w:val="en-CA"/>
              </w:rPr>
              <w:tab/>
            </w:r>
            <w:r w:rsidRPr="00F932CC">
              <w:rPr>
                <w:lang w:val="en-CA"/>
              </w:rPr>
              <w:t xml:space="preserve"> </w:t>
            </w:r>
            <w:hyperlink r:id="rId11" w:history="1">
              <w:r w:rsidRPr="00F932CC">
                <w:rPr>
                  <w:rStyle w:val="Hyperlink"/>
                  <w:sz w:val="14"/>
                  <w:szCs w:val="14"/>
                  <w:lang w:val="en-CA"/>
                </w:rPr>
                <w:t>http://tribunalsontario.ca/cref/</w:t>
              </w:r>
            </w:hyperlink>
          </w:p>
          <w:p w14:paraId="4FEC41A5" w14:textId="77777777" w:rsidR="00955933" w:rsidRPr="00F932CC" w:rsidRDefault="00955933" w:rsidP="00FB3CA2">
            <w:pPr>
              <w:autoSpaceDE w:val="0"/>
              <w:autoSpaceDN w:val="0"/>
              <w:adjustRightInd w:val="0"/>
              <w:jc w:val="both"/>
              <w:rPr>
                <w:sz w:val="16"/>
                <w:lang w:val="en-CA"/>
              </w:rPr>
            </w:pPr>
          </w:p>
        </w:tc>
      </w:tr>
    </w:tbl>
    <w:p w14:paraId="39A5FD3B" w14:textId="77777777" w:rsidR="00955933" w:rsidRPr="00F932CC" w:rsidRDefault="00955933" w:rsidP="00955933">
      <w:pPr>
        <w:rPr>
          <w:rFonts w:ascii="Arial" w:hAnsi="Arial" w:cs="Arial"/>
          <w:lang w:eastAsia="en-CA"/>
        </w:rPr>
      </w:pPr>
    </w:p>
    <w:tbl>
      <w:tblPr>
        <w:tblStyle w:val="TableGrid"/>
        <w:tblpPr w:leftFromText="180" w:rightFromText="180" w:vertAnchor="text" w:horzAnchor="margin" w:tblpY="1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1"/>
        <w:gridCol w:w="5399"/>
      </w:tblGrid>
      <w:tr w:rsidR="00955933" w:rsidRPr="00F932CC" w14:paraId="0448E402" w14:textId="77777777" w:rsidTr="00FB3CA2">
        <w:trPr>
          <w:trHeight w:val="352"/>
        </w:trPr>
        <w:tc>
          <w:tcPr>
            <w:tcW w:w="5508" w:type="dxa"/>
            <w:hideMark/>
          </w:tcPr>
          <w:p w14:paraId="2FF0934E" w14:textId="57D9D236" w:rsidR="00955933" w:rsidRPr="00F932CC" w:rsidRDefault="00955933" w:rsidP="00FB3CA2">
            <w:pPr>
              <w:pStyle w:val="NoSpacing"/>
              <w:rPr>
                <w:rFonts w:ascii="Arial" w:hAnsi="Arial" w:cs="Arial"/>
                <w:sz w:val="16"/>
                <w:szCs w:val="16"/>
                <w:lang w:val="fr-CA" w:eastAsia="en-CA"/>
              </w:rPr>
            </w:pPr>
            <w:r w:rsidRPr="00F932CC">
              <w:rPr>
                <w:rFonts w:ascii="Arial" w:hAnsi="Arial" w:cs="Arial"/>
                <w:sz w:val="16"/>
                <w:lang w:val="fr-CA"/>
              </w:rPr>
              <w:t>ISBN 0-7794-5789-X / ©</w:t>
            </w:r>
            <w:r w:rsidR="004A1808" w:rsidRPr="00F932CC">
              <w:rPr>
                <w:rFonts w:ascii="Arial" w:hAnsi="Arial" w:cs="Arial"/>
                <w:sz w:val="16"/>
                <w:lang w:val="fr-CA"/>
              </w:rPr>
              <w:t xml:space="preserve"> Imprimeur </w:t>
            </w:r>
            <w:r w:rsidR="005E2A89">
              <w:rPr>
                <w:rFonts w:ascii="Arial" w:hAnsi="Arial" w:cs="Arial"/>
                <w:sz w:val="16"/>
                <w:lang w:val="fr-CA"/>
              </w:rPr>
              <w:t>du Roi</w:t>
            </w:r>
            <w:r w:rsidR="004A1808" w:rsidRPr="00F932CC">
              <w:rPr>
                <w:rFonts w:ascii="Arial" w:hAnsi="Arial" w:cs="Arial"/>
                <w:sz w:val="16"/>
                <w:lang w:val="fr-CA"/>
              </w:rPr>
              <w:t xml:space="preserve"> pour l’Ontario, 2017</w:t>
            </w:r>
          </w:p>
        </w:tc>
        <w:tc>
          <w:tcPr>
            <w:tcW w:w="5508" w:type="dxa"/>
            <w:hideMark/>
          </w:tcPr>
          <w:p w14:paraId="3B4FED21" w14:textId="59C0F920" w:rsidR="00955933" w:rsidRPr="00F932CC" w:rsidRDefault="004A1808" w:rsidP="00FB3CA2">
            <w:pPr>
              <w:pStyle w:val="NoSpacing"/>
              <w:jc w:val="right"/>
              <w:rPr>
                <w:rFonts w:ascii="Arial" w:hAnsi="Arial" w:cs="Arial"/>
                <w:sz w:val="16"/>
                <w:szCs w:val="16"/>
                <w:lang w:val="en-CA" w:eastAsia="en-CA"/>
              </w:rPr>
            </w:pPr>
            <w:r w:rsidRPr="00F932CC">
              <w:rPr>
                <w:rFonts w:ascii="Arial" w:hAnsi="Arial" w:cs="Arial"/>
                <w:sz w:val="16"/>
                <w:szCs w:val="16"/>
              </w:rPr>
              <w:t xml:space="preserve">Available in English: </w:t>
            </w:r>
            <w:r w:rsidR="00F03ED2" w:rsidRPr="00F932CC">
              <w:rPr>
                <w:rFonts w:ascii="Arial" w:hAnsi="Arial" w:cs="Arial"/>
                <w:sz w:val="16"/>
                <w:szCs w:val="16"/>
              </w:rPr>
              <w:t xml:space="preserve"> Notice of Written Hearing – Third Party Appeals ONLY</w:t>
            </w:r>
          </w:p>
        </w:tc>
      </w:tr>
    </w:tbl>
    <w:p w14:paraId="7B5FCC1B" w14:textId="77777777" w:rsidR="00955933" w:rsidRPr="00F932CC" w:rsidRDefault="00955933" w:rsidP="0095593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eastAsia="en-CA"/>
        </w:rPr>
      </w:pPr>
    </w:p>
    <w:p w14:paraId="5D9D241A" w14:textId="77777777" w:rsidR="00951F85" w:rsidRPr="00F932CC" w:rsidRDefault="00951F85">
      <w:pPr>
        <w:rPr>
          <w:lang w:eastAsia="en-CA"/>
        </w:rPr>
      </w:pPr>
    </w:p>
    <w:bookmarkEnd w:id="1"/>
    <w:p w14:paraId="03A48F1E" w14:textId="641AB5F4" w:rsidR="00D72A5B" w:rsidRPr="00F932CC" w:rsidRDefault="00D72A5B">
      <w:pPr>
        <w:rPr>
          <w:lang w:eastAsia="en-CA"/>
        </w:rPr>
      </w:pPr>
    </w:p>
    <w:sectPr w:rsidR="00D72A5B" w:rsidRPr="00F932CC" w:rsidSect="00453DA2">
      <w:footerReference w:type="default" r:id="rId12"/>
      <w:pgSz w:w="12240" w:h="15840" w:code="1"/>
      <w:pgMar w:top="1135" w:right="720" w:bottom="1276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5AACD" w14:textId="77777777" w:rsidR="00604C28" w:rsidRDefault="00604C28">
      <w:r>
        <w:separator/>
      </w:r>
    </w:p>
  </w:endnote>
  <w:endnote w:type="continuationSeparator" w:id="0">
    <w:p w14:paraId="57114C78" w14:textId="77777777" w:rsidR="00604C28" w:rsidRDefault="00604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83AC1" w14:textId="748AD07C" w:rsidR="0004784C" w:rsidRPr="00885714" w:rsidRDefault="004A1808" w:rsidP="0016616D">
    <w:pPr>
      <w:pStyle w:val="Footer"/>
      <w:pBdr>
        <w:top w:val="thinThickLargeGap" w:sz="24" w:space="1" w:color="auto"/>
      </w:pBdr>
      <w:tabs>
        <w:tab w:val="clear" w:pos="4320"/>
        <w:tab w:val="clear" w:pos="8640"/>
        <w:tab w:val="right" w:pos="10800"/>
      </w:tabs>
      <w:rPr>
        <w:rStyle w:val="PageNumber"/>
        <w:rFonts w:ascii="Arial" w:hAnsi="Arial" w:cs="Arial"/>
        <w:sz w:val="20"/>
        <w:szCs w:val="20"/>
      </w:rPr>
    </w:pPr>
    <w:proofErr w:type="spellStart"/>
    <w:r>
      <w:rPr>
        <w:rFonts w:ascii="Arial" w:hAnsi="Arial" w:cs="Arial"/>
        <w:sz w:val="20"/>
        <w:szCs w:val="20"/>
      </w:rPr>
      <w:t>Feuille</w:t>
    </w:r>
    <w:proofErr w:type="spellEnd"/>
    <w:r>
      <w:rPr>
        <w:rFonts w:ascii="Arial" w:hAnsi="Arial" w:cs="Arial"/>
        <w:sz w:val="20"/>
        <w:szCs w:val="20"/>
      </w:rPr>
      <w:t xml:space="preserve"> </w:t>
    </w:r>
    <w:proofErr w:type="spellStart"/>
    <w:r>
      <w:rPr>
        <w:rFonts w:ascii="Arial" w:hAnsi="Arial" w:cs="Arial"/>
        <w:sz w:val="20"/>
        <w:szCs w:val="20"/>
      </w:rPr>
      <w:t>d’information</w:t>
    </w:r>
    <w:proofErr w:type="spellEnd"/>
    <w:r>
      <w:rPr>
        <w:rFonts w:ascii="Arial" w:hAnsi="Arial" w:cs="Arial"/>
        <w:sz w:val="20"/>
        <w:szCs w:val="20"/>
      </w:rPr>
      <w:t xml:space="preserve"> - CRÉF</w:t>
    </w:r>
    <w:r w:rsidR="0004784C" w:rsidRPr="00885714">
      <w:rPr>
        <w:rFonts w:ascii="Arial" w:hAnsi="Arial" w:cs="Arial"/>
        <w:sz w:val="20"/>
        <w:szCs w:val="20"/>
      </w:rPr>
      <w:tab/>
    </w:r>
    <w:r w:rsidR="0004784C" w:rsidRPr="00885714">
      <w:rPr>
        <w:rStyle w:val="PageNumber"/>
        <w:rFonts w:ascii="Arial" w:hAnsi="Arial" w:cs="Arial"/>
        <w:sz w:val="20"/>
        <w:szCs w:val="20"/>
      </w:rPr>
      <w:t xml:space="preserve">Page </w:t>
    </w:r>
    <w:r w:rsidR="0004784C" w:rsidRPr="00885714">
      <w:rPr>
        <w:rStyle w:val="PageNumber"/>
        <w:rFonts w:ascii="Arial" w:hAnsi="Arial" w:cs="Arial"/>
        <w:sz w:val="20"/>
        <w:szCs w:val="20"/>
      </w:rPr>
      <w:fldChar w:fldCharType="begin"/>
    </w:r>
    <w:r w:rsidR="0004784C" w:rsidRPr="00885714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04784C" w:rsidRPr="00885714">
      <w:rPr>
        <w:rStyle w:val="PageNumber"/>
        <w:rFonts w:ascii="Arial" w:hAnsi="Arial" w:cs="Arial"/>
        <w:sz w:val="20"/>
        <w:szCs w:val="20"/>
      </w:rPr>
      <w:fldChar w:fldCharType="separate"/>
    </w:r>
    <w:r w:rsidR="00813E58">
      <w:rPr>
        <w:rStyle w:val="PageNumber"/>
        <w:rFonts w:ascii="Arial" w:hAnsi="Arial" w:cs="Arial"/>
        <w:noProof/>
        <w:sz w:val="20"/>
        <w:szCs w:val="20"/>
      </w:rPr>
      <w:t>1</w:t>
    </w:r>
    <w:r w:rsidR="0004784C" w:rsidRPr="00885714">
      <w:rPr>
        <w:rStyle w:val="PageNumber"/>
        <w:rFonts w:ascii="Arial" w:hAnsi="Arial" w:cs="Arial"/>
        <w:sz w:val="20"/>
        <w:szCs w:val="20"/>
      </w:rPr>
      <w:fldChar w:fldCharType="end"/>
    </w:r>
    <w:r w:rsidR="0004784C" w:rsidRPr="00885714">
      <w:rPr>
        <w:rStyle w:val="PageNumber"/>
        <w:rFonts w:ascii="Arial" w:hAnsi="Arial" w:cs="Arial"/>
        <w:sz w:val="20"/>
        <w:szCs w:val="20"/>
      </w:rPr>
      <w:t xml:space="preserve"> </w:t>
    </w:r>
    <w:r>
      <w:rPr>
        <w:rStyle w:val="PageNumber"/>
        <w:rFonts w:ascii="Arial" w:hAnsi="Arial" w:cs="Arial"/>
        <w:sz w:val="20"/>
        <w:szCs w:val="20"/>
      </w:rPr>
      <w:t>de</w:t>
    </w:r>
    <w:r w:rsidR="0004784C" w:rsidRPr="00885714">
      <w:rPr>
        <w:rStyle w:val="PageNumber"/>
        <w:rFonts w:ascii="Arial" w:hAnsi="Arial" w:cs="Arial"/>
        <w:sz w:val="20"/>
        <w:szCs w:val="20"/>
      </w:rPr>
      <w:t xml:space="preserve"> </w:t>
    </w:r>
    <w:r w:rsidR="0004784C" w:rsidRPr="00885714">
      <w:rPr>
        <w:rStyle w:val="PageNumber"/>
        <w:rFonts w:ascii="Arial" w:hAnsi="Arial" w:cs="Arial"/>
        <w:sz w:val="20"/>
        <w:szCs w:val="20"/>
      </w:rPr>
      <w:fldChar w:fldCharType="begin"/>
    </w:r>
    <w:r w:rsidR="0004784C" w:rsidRPr="00885714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="0004784C" w:rsidRPr="00885714">
      <w:rPr>
        <w:rStyle w:val="PageNumber"/>
        <w:rFonts w:ascii="Arial" w:hAnsi="Arial" w:cs="Arial"/>
        <w:sz w:val="20"/>
        <w:szCs w:val="20"/>
      </w:rPr>
      <w:fldChar w:fldCharType="separate"/>
    </w:r>
    <w:r w:rsidR="00813E58">
      <w:rPr>
        <w:rStyle w:val="PageNumber"/>
        <w:rFonts w:ascii="Arial" w:hAnsi="Arial" w:cs="Arial"/>
        <w:noProof/>
        <w:sz w:val="20"/>
        <w:szCs w:val="20"/>
      </w:rPr>
      <w:t>3</w:t>
    </w:r>
    <w:r w:rsidR="0004784C" w:rsidRPr="00885714"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DC3C1" w14:textId="77777777" w:rsidR="00604C28" w:rsidRDefault="00604C28">
      <w:r>
        <w:separator/>
      </w:r>
    </w:p>
  </w:footnote>
  <w:footnote w:type="continuationSeparator" w:id="0">
    <w:p w14:paraId="2F8350B3" w14:textId="77777777" w:rsidR="00604C28" w:rsidRDefault="00604C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F2DA0"/>
    <w:multiLevelType w:val="hybridMultilevel"/>
    <w:tmpl w:val="FEDA795A"/>
    <w:lvl w:ilvl="0" w:tplc="230A87E0">
      <w:start w:val="1"/>
      <w:numFmt w:val="bullet"/>
      <w:lvlText w:val=""/>
      <w:lvlJc w:val="left"/>
      <w:pPr>
        <w:tabs>
          <w:tab w:val="num" w:pos="1764"/>
        </w:tabs>
        <w:ind w:left="1764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2"/>
        </w:tabs>
        <w:ind w:left="20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2"/>
        </w:tabs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2"/>
        </w:tabs>
        <w:ind w:left="63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2"/>
        </w:tabs>
        <w:ind w:left="7092" w:hanging="360"/>
      </w:pPr>
      <w:rPr>
        <w:rFonts w:ascii="Wingdings" w:hAnsi="Wingdings" w:hint="default"/>
      </w:rPr>
    </w:lvl>
  </w:abstractNum>
  <w:abstractNum w:abstractNumId="1" w15:restartNumberingAfterBreak="0">
    <w:nsid w:val="0C5D7711"/>
    <w:multiLevelType w:val="hybridMultilevel"/>
    <w:tmpl w:val="6F9C488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16131"/>
    <w:multiLevelType w:val="hybridMultilevel"/>
    <w:tmpl w:val="E3FE3978"/>
    <w:lvl w:ilvl="0" w:tplc="10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20C5622B"/>
    <w:multiLevelType w:val="hybridMultilevel"/>
    <w:tmpl w:val="0DA038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B416F9"/>
    <w:multiLevelType w:val="hybridMultilevel"/>
    <w:tmpl w:val="EE36294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8088F"/>
    <w:multiLevelType w:val="hybridMultilevel"/>
    <w:tmpl w:val="F260D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D36383"/>
    <w:multiLevelType w:val="multilevel"/>
    <w:tmpl w:val="ABE01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776E58"/>
    <w:multiLevelType w:val="hybridMultilevel"/>
    <w:tmpl w:val="0C0A60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2C67A6"/>
    <w:multiLevelType w:val="hybridMultilevel"/>
    <w:tmpl w:val="8348DA6E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C931230"/>
    <w:multiLevelType w:val="hybridMultilevel"/>
    <w:tmpl w:val="2ED02B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963090">
    <w:abstractNumId w:val="2"/>
  </w:num>
  <w:num w:numId="2" w16cid:durableId="2048941949">
    <w:abstractNumId w:val="3"/>
  </w:num>
  <w:num w:numId="3" w16cid:durableId="537863904">
    <w:abstractNumId w:val="0"/>
  </w:num>
  <w:num w:numId="4" w16cid:durableId="1486094473">
    <w:abstractNumId w:val="6"/>
    <w:lvlOverride w:ilvl="0">
      <w:startOverride w:val="1"/>
    </w:lvlOverride>
  </w:num>
  <w:num w:numId="5" w16cid:durableId="1012338800">
    <w:abstractNumId w:val="6"/>
    <w:lvlOverride w:ilvl="0">
      <w:startOverride w:val="2"/>
    </w:lvlOverride>
  </w:num>
  <w:num w:numId="6" w16cid:durableId="895748612">
    <w:abstractNumId w:val="8"/>
  </w:num>
  <w:num w:numId="7" w16cid:durableId="1022630526">
    <w:abstractNumId w:val="1"/>
  </w:num>
  <w:num w:numId="8" w16cid:durableId="1683780322">
    <w:abstractNumId w:val="7"/>
  </w:num>
  <w:num w:numId="9" w16cid:durableId="358899847">
    <w:abstractNumId w:val="9"/>
  </w:num>
  <w:num w:numId="10" w16cid:durableId="1048651009">
    <w:abstractNumId w:val="4"/>
  </w:num>
  <w:num w:numId="11" w16cid:durableId="2374460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>
      <o:colormru v:ext="edit" colors="#99a69c,#dee1d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631"/>
    <w:rsid w:val="0000121C"/>
    <w:rsid w:val="000119D6"/>
    <w:rsid w:val="000167B5"/>
    <w:rsid w:val="00025526"/>
    <w:rsid w:val="000265C9"/>
    <w:rsid w:val="00031E47"/>
    <w:rsid w:val="00041771"/>
    <w:rsid w:val="0004784C"/>
    <w:rsid w:val="00076A19"/>
    <w:rsid w:val="00084EA7"/>
    <w:rsid w:val="00085802"/>
    <w:rsid w:val="00094777"/>
    <w:rsid w:val="000C4586"/>
    <w:rsid w:val="000D0CF1"/>
    <w:rsid w:val="000D3C80"/>
    <w:rsid w:val="000D5C20"/>
    <w:rsid w:val="000E076C"/>
    <w:rsid w:val="000E52E9"/>
    <w:rsid w:val="00102AD6"/>
    <w:rsid w:val="001313E9"/>
    <w:rsid w:val="00135E76"/>
    <w:rsid w:val="001361A9"/>
    <w:rsid w:val="0014579B"/>
    <w:rsid w:val="00147BB2"/>
    <w:rsid w:val="001511FD"/>
    <w:rsid w:val="0016616D"/>
    <w:rsid w:val="00173B81"/>
    <w:rsid w:val="001866F8"/>
    <w:rsid w:val="0019539A"/>
    <w:rsid w:val="00197223"/>
    <w:rsid w:val="001A501D"/>
    <w:rsid w:val="001A5D4E"/>
    <w:rsid w:val="001A7EAD"/>
    <w:rsid w:val="001B45D0"/>
    <w:rsid w:val="001C05D6"/>
    <w:rsid w:val="001C069D"/>
    <w:rsid w:val="001C2644"/>
    <w:rsid w:val="001C44F1"/>
    <w:rsid w:val="001C454C"/>
    <w:rsid w:val="001D22CF"/>
    <w:rsid w:val="001E045A"/>
    <w:rsid w:val="001E5E5D"/>
    <w:rsid w:val="001F28E3"/>
    <w:rsid w:val="001F72F4"/>
    <w:rsid w:val="002021D5"/>
    <w:rsid w:val="00224A3F"/>
    <w:rsid w:val="00231310"/>
    <w:rsid w:val="00245422"/>
    <w:rsid w:val="00250E06"/>
    <w:rsid w:val="00254326"/>
    <w:rsid w:val="00254682"/>
    <w:rsid w:val="00263951"/>
    <w:rsid w:val="00271CE3"/>
    <w:rsid w:val="00274A30"/>
    <w:rsid w:val="00277118"/>
    <w:rsid w:val="00286A9C"/>
    <w:rsid w:val="002D2083"/>
    <w:rsid w:val="002E09B9"/>
    <w:rsid w:val="002E55B4"/>
    <w:rsid w:val="00301943"/>
    <w:rsid w:val="00367497"/>
    <w:rsid w:val="00370E47"/>
    <w:rsid w:val="003755B3"/>
    <w:rsid w:val="00385332"/>
    <w:rsid w:val="003A0F92"/>
    <w:rsid w:val="003A4A55"/>
    <w:rsid w:val="003B6570"/>
    <w:rsid w:val="003E0CA2"/>
    <w:rsid w:val="003F6F0E"/>
    <w:rsid w:val="00400C35"/>
    <w:rsid w:val="00402DB8"/>
    <w:rsid w:val="004030FB"/>
    <w:rsid w:val="00406823"/>
    <w:rsid w:val="00416BA5"/>
    <w:rsid w:val="00426CC6"/>
    <w:rsid w:val="00433F62"/>
    <w:rsid w:val="00434C06"/>
    <w:rsid w:val="00443EFE"/>
    <w:rsid w:val="00445D0D"/>
    <w:rsid w:val="00446FC3"/>
    <w:rsid w:val="00450B2F"/>
    <w:rsid w:val="00453807"/>
    <w:rsid w:val="00453DA2"/>
    <w:rsid w:val="00456028"/>
    <w:rsid w:val="00467D4E"/>
    <w:rsid w:val="00480CE4"/>
    <w:rsid w:val="00491725"/>
    <w:rsid w:val="004917E0"/>
    <w:rsid w:val="004A1808"/>
    <w:rsid w:val="004A37BF"/>
    <w:rsid w:val="004A73D5"/>
    <w:rsid w:val="004B05EE"/>
    <w:rsid w:val="004B1BA4"/>
    <w:rsid w:val="004C1FF2"/>
    <w:rsid w:val="004C6616"/>
    <w:rsid w:val="004D123F"/>
    <w:rsid w:val="004D1FCB"/>
    <w:rsid w:val="004D5674"/>
    <w:rsid w:val="004E4786"/>
    <w:rsid w:val="004E7369"/>
    <w:rsid w:val="004F1176"/>
    <w:rsid w:val="004F46C1"/>
    <w:rsid w:val="004F5707"/>
    <w:rsid w:val="004F5F0E"/>
    <w:rsid w:val="00502EAF"/>
    <w:rsid w:val="00507DC4"/>
    <w:rsid w:val="005252B7"/>
    <w:rsid w:val="00537CDA"/>
    <w:rsid w:val="00545926"/>
    <w:rsid w:val="00547328"/>
    <w:rsid w:val="00550D8A"/>
    <w:rsid w:val="005538BC"/>
    <w:rsid w:val="00560D57"/>
    <w:rsid w:val="00560DC3"/>
    <w:rsid w:val="00575961"/>
    <w:rsid w:val="005A29A8"/>
    <w:rsid w:val="005A2AAE"/>
    <w:rsid w:val="005B6263"/>
    <w:rsid w:val="005C03BF"/>
    <w:rsid w:val="005C2C78"/>
    <w:rsid w:val="005D019F"/>
    <w:rsid w:val="005D18E2"/>
    <w:rsid w:val="005D4E2C"/>
    <w:rsid w:val="005D6BB0"/>
    <w:rsid w:val="005E2A89"/>
    <w:rsid w:val="005E3B04"/>
    <w:rsid w:val="005E7F29"/>
    <w:rsid w:val="005F5EF6"/>
    <w:rsid w:val="00604C28"/>
    <w:rsid w:val="00612B0E"/>
    <w:rsid w:val="00616F7C"/>
    <w:rsid w:val="0062328D"/>
    <w:rsid w:val="00636475"/>
    <w:rsid w:val="00641912"/>
    <w:rsid w:val="006439FD"/>
    <w:rsid w:val="00654A37"/>
    <w:rsid w:val="00664877"/>
    <w:rsid w:val="006654B7"/>
    <w:rsid w:val="00665921"/>
    <w:rsid w:val="006709FD"/>
    <w:rsid w:val="00674CE9"/>
    <w:rsid w:val="006854B9"/>
    <w:rsid w:val="006879FE"/>
    <w:rsid w:val="006902B8"/>
    <w:rsid w:val="00693402"/>
    <w:rsid w:val="006A4BAC"/>
    <w:rsid w:val="006B1001"/>
    <w:rsid w:val="006C4CAA"/>
    <w:rsid w:val="006D10AA"/>
    <w:rsid w:val="006D3BF9"/>
    <w:rsid w:val="006F40A6"/>
    <w:rsid w:val="006F7539"/>
    <w:rsid w:val="006F7D5B"/>
    <w:rsid w:val="0070107E"/>
    <w:rsid w:val="0070225C"/>
    <w:rsid w:val="00724430"/>
    <w:rsid w:val="00737532"/>
    <w:rsid w:val="00741CCA"/>
    <w:rsid w:val="00742527"/>
    <w:rsid w:val="00765E82"/>
    <w:rsid w:val="007679AE"/>
    <w:rsid w:val="0077263C"/>
    <w:rsid w:val="00773C69"/>
    <w:rsid w:val="00773D1B"/>
    <w:rsid w:val="007802A2"/>
    <w:rsid w:val="007856A1"/>
    <w:rsid w:val="0079153C"/>
    <w:rsid w:val="007A21BD"/>
    <w:rsid w:val="007A7B5F"/>
    <w:rsid w:val="007D19CC"/>
    <w:rsid w:val="007E15D4"/>
    <w:rsid w:val="007E2A15"/>
    <w:rsid w:val="007E5440"/>
    <w:rsid w:val="007E664F"/>
    <w:rsid w:val="007E754F"/>
    <w:rsid w:val="008073B3"/>
    <w:rsid w:val="00813E58"/>
    <w:rsid w:val="00820B23"/>
    <w:rsid w:val="0084241B"/>
    <w:rsid w:val="008435A9"/>
    <w:rsid w:val="00847DD0"/>
    <w:rsid w:val="00851CF7"/>
    <w:rsid w:val="008756BC"/>
    <w:rsid w:val="00876221"/>
    <w:rsid w:val="008765F1"/>
    <w:rsid w:val="00881650"/>
    <w:rsid w:val="00885714"/>
    <w:rsid w:val="00890BFE"/>
    <w:rsid w:val="00891E14"/>
    <w:rsid w:val="008A500B"/>
    <w:rsid w:val="008A5A50"/>
    <w:rsid w:val="008C72DD"/>
    <w:rsid w:val="008C784B"/>
    <w:rsid w:val="008D6073"/>
    <w:rsid w:val="009271FB"/>
    <w:rsid w:val="0093035C"/>
    <w:rsid w:val="0093463F"/>
    <w:rsid w:val="009420D6"/>
    <w:rsid w:val="009439C9"/>
    <w:rsid w:val="00951F85"/>
    <w:rsid w:val="00955933"/>
    <w:rsid w:val="009629B2"/>
    <w:rsid w:val="00965E0B"/>
    <w:rsid w:val="00971187"/>
    <w:rsid w:val="00974FC9"/>
    <w:rsid w:val="00984240"/>
    <w:rsid w:val="00984994"/>
    <w:rsid w:val="009A44CC"/>
    <w:rsid w:val="009C11D6"/>
    <w:rsid w:val="009C5F32"/>
    <w:rsid w:val="009D16E8"/>
    <w:rsid w:val="009D26DF"/>
    <w:rsid w:val="009D2E1E"/>
    <w:rsid w:val="009D438F"/>
    <w:rsid w:val="009E4D5C"/>
    <w:rsid w:val="009E612F"/>
    <w:rsid w:val="009E61B8"/>
    <w:rsid w:val="009F36AC"/>
    <w:rsid w:val="009F3F5F"/>
    <w:rsid w:val="009F55C4"/>
    <w:rsid w:val="009F7DB8"/>
    <w:rsid w:val="00A05E86"/>
    <w:rsid w:val="00A13F48"/>
    <w:rsid w:val="00A15631"/>
    <w:rsid w:val="00A17391"/>
    <w:rsid w:val="00A317B3"/>
    <w:rsid w:val="00A33677"/>
    <w:rsid w:val="00A4218E"/>
    <w:rsid w:val="00A43A2C"/>
    <w:rsid w:val="00A453EE"/>
    <w:rsid w:val="00A461C4"/>
    <w:rsid w:val="00A466EE"/>
    <w:rsid w:val="00A609B6"/>
    <w:rsid w:val="00A671ED"/>
    <w:rsid w:val="00A70212"/>
    <w:rsid w:val="00A75142"/>
    <w:rsid w:val="00A84A3F"/>
    <w:rsid w:val="00A90F39"/>
    <w:rsid w:val="00A96D4B"/>
    <w:rsid w:val="00AC14C4"/>
    <w:rsid w:val="00AC6072"/>
    <w:rsid w:val="00AC7F50"/>
    <w:rsid w:val="00AD3D54"/>
    <w:rsid w:val="00AD7A90"/>
    <w:rsid w:val="00AF4346"/>
    <w:rsid w:val="00AF4B6A"/>
    <w:rsid w:val="00AF6AEF"/>
    <w:rsid w:val="00AF7598"/>
    <w:rsid w:val="00B0694A"/>
    <w:rsid w:val="00B10EB7"/>
    <w:rsid w:val="00B118B6"/>
    <w:rsid w:val="00B12025"/>
    <w:rsid w:val="00B20BDB"/>
    <w:rsid w:val="00B3224B"/>
    <w:rsid w:val="00B40D4E"/>
    <w:rsid w:val="00B47C2A"/>
    <w:rsid w:val="00B518B7"/>
    <w:rsid w:val="00B63D45"/>
    <w:rsid w:val="00B64EAC"/>
    <w:rsid w:val="00B7006D"/>
    <w:rsid w:val="00B73236"/>
    <w:rsid w:val="00B77E1D"/>
    <w:rsid w:val="00B81994"/>
    <w:rsid w:val="00B83EC1"/>
    <w:rsid w:val="00B90065"/>
    <w:rsid w:val="00BA37CA"/>
    <w:rsid w:val="00BA772B"/>
    <w:rsid w:val="00BC1425"/>
    <w:rsid w:val="00BD0EA3"/>
    <w:rsid w:val="00BF631D"/>
    <w:rsid w:val="00C07E5C"/>
    <w:rsid w:val="00C12A6D"/>
    <w:rsid w:val="00C1397C"/>
    <w:rsid w:val="00C13B9A"/>
    <w:rsid w:val="00C32499"/>
    <w:rsid w:val="00C36F4C"/>
    <w:rsid w:val="00C437EB"/>
    <w:rsid w:val="00C50D05"/>
    <w:rsid w:val="00C50EB3"/>
    <w:rsid w:val="00C511F6"/>
    <w:rsid w:val="00C51D29"/>
    <w:rsid w:val="00C67C34"/>
    <w:rsid w:val="00C754CE"/>
    <w:rsid w:val="00C86063"/>
    <w:rsid w:val="00CA6187"/>
    <w:rsid w:val="00CB2C77"/>
    <w:rsid w:val="00CC1005"/>
    <w:rsid w:val="00CC5C00"/>
    <w:rsid w:val="00CD6973"/>
    <w:rsid w:val="00CE2631"/>
    <w:rsid w:val="00CE393D"/>
    <w:rsid w:val="00CE6D6F"/>
    <w:rsid w:val="00CF489A"/>
    <w:rsid w:val="00D01323"/>
    <w:rsid w:val="00D13C8C"/>
    <w:rsid w:val="00D16830"/>
    <w:rsid w:val="00D2402D"/>
    <w:rsid w:val="00D33F20"/>
    <w:rsid w:val="00D55113"/>
    <w:rsid w:val="00D67FDA"/>
    <w:rsid w:val="00D72A5B"/>
    <w:rsid w:val="00D73B8A"/>
    <w:rsid w:val="00D818AE"/>
    <w:rsid w:val="00DA36AC"/>
    <w:rsid w:val="00DB55D4"/>
    <w:rsid w:val="00DB574D"/>
    <w:rsid w:val="00DD1142"/>
    <w:rsid w:val="00DD6089"/>
    <w:rsid w:val="00DE2EE7"/>
    <w:rsid w:val="00DE4D88"/>
    <w:rsid w:val="00DF6A8D"/>
    <w:rsid w:val="00E00793"/>
    <w:rsid w:val="00E015A7"/>
    <w:rsid w:val="00E02A47"/>
    <w:rsid w:val="00E04086"/>
    <w:rsid w:val="00E23092"/>
    <w:rsid w:val="00E2690C"/>
    <w:rsid w:val="00E36528"/>
    <w:rsid w:val="00E6200C"/>
    <w:rsid w:val="00E70AEF"/>
    <w:rsid w:val="00E73CF4"/>
    <w:rsid w:val="00E76D19"/>
    <w:rsid w:val="00E94B5C"/>
    <w:rsid w:val="00EA1B62"/>
    <w:rsid w:val="00EA6B9E"/>
    <w:rsid w:val="00EC3C89"/>
    <w:rsid w:val="00EC48D7"/>
    <w:rsid w:val="00EC5EC3"/>
    <w:rsid w:val="00ED3D0F"/>
    <w:rsid w:val="00ED7E21"/>
    <w:rsid w:val="00EE3C6C"/>
    <w:rsid w:val="00EE62D3"/>
    <w:rsid w:val="00EF0B11"/>
    <w:rsid w:val="00EF0C20"/>
    <w:rsid w:val="00F031F6"/>
    <w:rsid w:val="00F03ED2"/>
    <w:rsid w:val="00F11F12"/>
    <w:rsid w:val="00F35AEB"/>
    <w:rsid w:val="00F53E46"/>
    <w:rsid w:val="00F622D3"/>
    <w:rsid w:val="00F66418"/>
    <w:rsid w:val="00F6783A"/>
    <w:rsid w:val="00F77637"/>
    <w:rsid w:val="00F852DA"/>
    <w:rsid w:val="00F932CC"/>
    <w:rsid w:val="00F96DB2"/>
    <w:rsid w:val="00FB5A49"/>
    <w:rsid w:val="00FC3A14"/>
    <w:rsid w:val="00FE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99a69c,#dee1df"/>
    </o:shapedefaults>
    <o:shapelayout v:ext="edit">
      <o:idmap v:ext="edit" data="2"/>
    </o:shapelayout>
  </w:shapeDefaults>
  <w:decimalSymbol w:val="."/>
  <w:listSeparator w:val=","/>
  <w14:docId w14:val="42D93D78"/>
  <w15:docId w15:val="{E864F27C-B6EC-40B9-8151-C28EE75D0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section-e"/>
    <w:next w:val="Normal"/>
    <w:link w:val="Heading1Char"/>
    <w:qFormat/>
    <w:rsid w:val="00C67C34"/>
    <w:pPr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8A500B"/>
    <w:pPr>
      <w:keepNext/>
      <w:outlineLvl w:val="1"/>
    </w:pPr>
    <w:rPr>
      <w:rFonts w:ascii="Arial" w:hAnsi="Arial"/>
      <w:b/>
      <w:i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8A500B"/>
    <w:pPr>
      <w:keepNext/>
      <w:outlineLvl w:val="2"/>
    </w:pPr>
    <w:rPr>
      <w:rFonts w:ascii="Arial" w:hAnsi="Arial"/>
      <w:b/>
      <w:sz w:val="22"/>
      <w:szCs w:val="20"/>
      <w:u w:val="single"/>
      <w:lang w:val="en-US"/>
    </w:rPr>
  </w:style>
  <w:style w:type="paragraph" w:styleId="Heading5">
    <w:name w:val="heading 5"/>
    <w:basedOn w:val="Normal"/>
    <w:next w:val="Normal"/>
    <w:qFormat/>
    <w:rsid w:val="008A500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2A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E478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E47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E4786"/>
  </w:style>
  <w:style w:type="character" w:styleId="Hyperlink">
    <w:name w:val="Hyperlink"/>
    <w:rsid w:val="00EC3C89"/>
    <w:rPr>
      <w:rFonts w:ascii="Arial" w:hAnsi="Arial" w:cs="Arial" w:hint="default"/>
      <w:b/>
      <w:bCs/>
      <w:i w:val="0"/>
      <w:iCs w:val="0"/>
      <w:color w:val="000000"/>
      <w:sz w:val="20"/>
      <w:szCs w:val="20"/>
      <w:u w:val="single"/>
    </w:rPr>
  </w:style>
  <w:style w:type="character" w:styleId="Strong">
    <w:name w:val="Strong"/>
    <w:qFormat/>
    <w:rsid w:val="00EC3C89"/>
    <w:rPr>
      <w:b/>
      <w:bCs/>
    </w:rPr>
  </w:style>
  <w:style w:type="character" w:customStyle="1" w:styleId="Heading3Char">
    <w:name w:val="Heading 3 Char"/>
    <w:link w:val="Heading3"/>
    <w:rsid w:val="008A500B"/>
    <w:rPr>
      <w:rFonts w:ascii="Arial" w:hAnsi="Arial"/>
      <w:b/>
      <w:sz w:val="22"/>
      <w:u w:val="single"/>
      <w:lang w:val="en-US" w:eastAsia="en-US" w:bidi="ar-SA"/>
    </w:rPr>
  </w:style>
  <w:style w:type="paragraph" w:customStyle="1" w:styleId="headnote-e">
    <w:name w:val="headnote-e"/>
    <w:basedOn w:val="Normal"/>
    <w:rsid w:val="008A500B"/>
    <w:pPr>
      <w:spacing w:before="100" w:beforeAutospacing="1" w:after="100" w:afterAutospacing="1"/>
    </w:pPr>
    <w:rPr>
      <w:lang w:eastAsia="en-CA"/>
    </w:rPr>
  </w:style>
  <w:style w:type="paragraph" w:customStyle="1" w:styleId="section-e">
    <w:name w:val="section-e"/>
    <w:basedOn w:val="Normal"/>
    <w:rsid w:val="008A500B"/>
    <w:pPr>
      <w:spacing w:before="100" w:beforeAutospacing="1" w:after="100" w:afterAutospacing="1"/>
    </w:pPr>
    <w:rPr>
      <w:lang w:eastAsia="en-CA"/>
    </w:rPr>
  </w:style>
  <w:style w:type="paragraph" w:customStyle="1" w:styleId="paragraph-e">
    <w:name w:val="paragraph-e"/>
    <w:basedOn w:val="Normal"/>
    <w:rsid w:val="008A500B"/>
    <w:pPr>
      <w:spacing w:before="100" w:beforeAutospacing="1" w:after="100" w:afterAutospacing="1"/>
    </w:pPr>
    <w:rPr>
      <w:lang w:eastAsia="en-CA"/>
    </w:rPr>
  </w:style>
  <w:style w:type="paragraph" w:customStyle="1" w:styleId="subsection-e">
    <w:name w:val="subsection-e"/>
    <w:basedOn w:val="Normal"/>
    <w:rsid w:val="008A500B"/>
    <w:pPr>
      <w:spacing w:before="100" w:beforeAutospacing="1" w:after="100" w:afterAutospacing="1"/>
    </w:pPr>
    <w:rPr>
      <w:lang w:eastAsia="en-CA"/>
    </w:rPr>
  </w:style>
  <w:style w:type="paragraph" w:customStyle="1" w:styleId="Normal1">
    <w:name w:val="Normal1"/>
    <w:basedOn w:val="Normal"/>
    <w:rsid w:val="008A500B"/>
    <w:pPr>
      <w:spacing w:before="100" w:beforeAutospacing="1" w:after="100" w:afterAutospacing="1"/>
    </w:pPr>
    <w:rPr>
      <w:lang w:eastAsia="en-CA"/>
    </w:rPr>
  </w:style>
  <w:style w:type="paragraph" w:styleId="ListParagraph">
    <w:name w:val="List Paragraph"/>
    <w:basedOn w:val="Normal"/>
    <w:uiPriority w:val="34"/>
    <w:qFormat/>
    <w:rsid w:val="00406823"/>
    <w:pPr>
      <w:ind w:left="720"/>
      <w:contextualSpacing/>
    </w:pPr>
  </w:style>
  <w:style w:type="character" w:styleId="FollowedHyperlink">
    <w:name w:val="FollowedHyperlink"/>
    <w:rsid w:val="00D818AE"/>
    <w:rPr>
      <w:color w:val="800080"/>
      <w:u w:val="single"/>
    </w:rPr>
  </w:style>
  <w:style w:type="character" w:styleId="CommentReference">
    <w:name w:val="annotation reference"/>
    <w:rsid w:val="00A671ED"/>
    <w:rPr>
      <w:sz w:val="16"/>
      <w:szCs w:val="16"/>
    </w:rPr>
  </w:style>
  <w:style w:type="paragraph" w:styleId="CommentText">
    <w:name w:val="annotation text"/>
    <w:basedOn w:val="Normal"/>
    <w:link w:val="CommentTextChar"/>
    <w:rsid w:val="00A671ED"/>
    <w:rPr>
      <w:sz w:val="20"/>
      <w:szCs w:val="20"/>
    </w:rPr>
  </w:style>
  <w:style w:type="character" w:customStyle="1" w:styleId="CommentTextChar">
    <w:name w:val="Comment Text Char"/>
    <w:link w:val="CommentText"/>
    <w:rsid w:val="00A671E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671ED"/>
    <w:rPr>
      <w:b/>
      <w:bCs/>
    </w:rPr>
  </w:style>
  <w:style w:type="character" w:customStyle="1" w:styleId="CommentSubjectChar">
    <w:name w:val="Comment Subject Char"/>
    <w:link w:val="CommentSubject"/>
    <w:rsid w:val="00A671ED"/>
    <w:rPr>
      <w:b/>
      <w:bCs/>
      <w:lang w:eastAsia="en-US"/>
    </w:rPr>
  </w:style>
  <w:style w:type="paragraph" w:styleId="Revision">
    <w:name w:val="Revision"/>
    <w:hidden/>
    <w:uiPriority w:val="99"/>
    <w:semiHidden/>
    <w:rsid w:val="00EE3C6C"/>
    <w:rPr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C67C34"/>
    <w:pPr>
      <w:autoSpaceDE w:val="0"/>
      <w:autoSpaceDN w:val="0"/>
      <w:adjustRightInd w:val="0"/>
    </w:pPr>
    <w:rPr>
      <w:rFonts w:ascii="Arial" w:hAnsi="Arial" w:cs="Arial"/>
      <w:b/>
      <w:bCs/>
      <w:color w:val="000000"/>
      <w:sz w:val="28"/>
      <w:szCs w:val="32"/>
    </w:rPr>
  </w:style>
  <w:style w:type="character" w:customStyle="1" w:styleId="TitleChar">
    <w:name w:val="Title Char"/>
    <w:link w:val="Title"/>
    <w:rsid w:val="00C67C34"/>
    <w:rPr>
      <w:rFonts w:ascii="Arial" w:hAnsi="Arial" w:cs="Arial"/>
      <w:b/>
      <w:bCs/>
      <w:color w:val="000000"/>
      <w:sz w:val="28"/>
      <w:szCs w:val="32"/>
      <w:lang w:eastAsia="en-US"/>
    </w:rPr>
  </w:style>
  <w:style w:type="character" w:customStyle="1" w:styleId="Heading1Char">
    <w:name w:val="Heading 1 Char"/>
    <w:link w:val="Heading1"/>
    <w:rsid w:val="00C67C34"/>
    <w:rPr>
      <w:rFonts w:ascii="Arial" w:hAnsi="Arial" w:cs="Arial"/>
      <w:b/>
      <w:bCs/>
      <w:sz w:val="24"/>
      <w:szCs w:val="24"/>
    </w:rPr>
  </w:style>
  <w:style w:type="character" w:styleId="Emphasis">
    <w:name w:val="Emphasis"/>
    <w:qFormat/>
    <w:rsid w:val="00C67C34"/>
    <w:rPr>
      <w:rFonts w:ascii="Arial" w:hAnsi="Arial" w:cs="Arial"/>
      <w:b/>
    </w:rPr>
  </w:style>
  <w:style w:type="paragraph" w:styleId="NoSpacing">
    <w:name w:val="No Spacing"/>
    <w:uiPriority w:val="1"/>
    <w:qFormat/>
    <w:rsid w:val="006879FE"/>
    <w:rPr>
      <w:sz w:val="24"/>
      <w:szCs w:val="24"/>
      <w:lang w:eastAsia="en-US"/>
    </w:rPr>
  </w:style>
  <w:style w:type="table" w:styleId="TableGrid">
    <w:name w:val="Table Grid"/>
    <w:basedOn w:val="TableNormal"/>
    <w:rsid w:val="00E00793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20B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ribunalsontario.ca/cref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ARB.Registrar@ontario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F1980-01A7-4502-8738-464CF59CFCE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724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Ontario</Company>
  <LinksUpToDate>false</LinksUpToDate>
  <CharactersWithSpaces>4623</CharactersWithSpaces>
  <SharedDoc>false</SharedDoc>
  <HLinks>
    <vt:vector size="54" baseType="variant">
      <vt:variant>
        <vt:i4>7798843</vt:i4>
      </vt:variant>
      <vt:variant>
        <vt:i4>21</vt:i4>
      </vt:variant>
      <vt:variant>
        <vt:i4>0</vt:i4>
      </vt:variant>
      <vt:variant>
        <vt:i4>5</vt:i4>
      </vt:variant>
      <vt:variant>
        <vt:lpwstr>http://elto.gov.on.ca/</vt:lpwstr>
      </vt:variant>
      <vt:variant>
        <vt:lpwstr/>
      </vt:variant>
      <vt:variant>
        <vt:i4>78</vt:i4>
      </vt:variant>
      <vt:variant>
        <vt:i4>18</vt:i4>
      </vt:variant>
      <vt:variant>
        <vt:i4>0</vt:i4>
      </vt:variant>
      <vt:variant>
        <vt:i4>5</vt:i4>
      </vt:variant>
      <vt:variant>
        <vt:lpwstr>http://elto.gov.on.ca/arb/legislation-and-rules/</vt:lpwstr>
      </vt:variant>
      <vt:variant>
        <vt:lpwstr/>
      </vt:variant>
      <vt:variant>
        <vt:i4>7798843</vt:i4>
      </vt:variant>
      <vt:variant>
        <vt:i4>15</vt:i4>
      </vt:variant>
      <vt:variant>
        <vt:i4>0</vt:i4>
      </vt:variant>
      <vt:variant>
        <vt:i4>5</vt:i4>
      </vt:variant>
      <vt:variant>
        <vt:lpwstr>http://elto.gov.on.ca/</vt:lpwstr>
      </vt:variant>
      <vt:variant>
        <vt:lpwstr/>
      </vt:variant>
      <vt:variant>
        <vt:i4>7340036</vt:i4>
      </vt:variant>
      <vt:variant>
        <vt:i4>12</vt:i4>
      </vt:variant>
      <vt:variant>
        <vt:i4>0</vt:i4>
      </vt:variant>
      <vt:variant>
        <vt:i4>5</vt:i4>
      </vt:variant>
      <vt:variant>
        <vt:lpwstr>mailto:Arb.rfrext@ontario.ca</vt:lpwstr>
      </vt:variant>
      <vt:variant>
        <vt:lpwstr/>
      </vt:variant>
      <vt:variant>
        <vt:i4>327772</vt:i4>
      </vt:variant>
      <vt:variant>
        <vt:i4>9</vt:i4>
      </vt:variant>
      <vt:variant>
        <vt:i4>0</vt:i4>
      </vt:variant>
      <vt:variant>
        <vt:i4>5</vt:i4>
      </vt:variant>
      <vt:variant>
        <vt:lpwstr>http://www.mnr.gov.on.ca/</vt:lpwstr>
      </vt:variant>
      <vt:variant>
        <vt:lpwstr/>
      </vt:variant>
      <vt:variant>
        <vt:i4>4456470</vt:i4>
      </vt:variant>
      <vt:variant>
        <vt:i4>6</vt:i4>
      </vt:variant>
      <vt:variant>
        <vt:i4>0</vt:i4>
      </vt:variant>
      <vt:variant>
        <vt:i4>5</vt:i4>
      </vt:variant>
      <vt:variant>
        <vt:lpwstr>http://www.ontario/MFTIP/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http://www.ontario.ca/farmtax/</vt:lpwstr>
      </vt:variant>
      <vt:variant>
        <vt:lpwstr/>
      </vt:variant>
      <vt:variant>
        <vt:i4>6815776</vt:i4>
      </vt:variant>
      <vt:variant>
        <vt:i4>0</vt:i4>
      </vt:variant>
      <vt:variant>
        <vt:i4>0</vt:i4>
      </vt:variant>
      <vt:variant>
        <vt:i4>5</vt:i4>
      </vt:variant>
      <vt:variant>
        <vt:lpwstr>http://www.mpac.ca/</vt:lpwstr>
      </vt:variant>
      <vt:variant>
        <vt:lpwstr/>
      </vt:variant>
      <vt:variant>
        <vt:i4>7798843</vt:i4>
      </vt:variant>
      <vt:variant>
        <vt:i4>3</vt:i4>
      </vt:variant>
      <vt:variant>
        <vt:i4>0</vt:i4>
      </vt:variant>
      <vt:variant>
        <vt:i4>5</vt:i4>
      </vt:variant>
      <vt:variant>
        <vt:lpwstr>http://elto.gov.on.ca/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David James Bryan</dc:creator>
  <cp:lastModifiedBy>Kappel, Alex (She/Her) (MAG)</cp:lastModifiedBy>
  <cp:revision>8</cp:revision>
  <cp:lastPrinted>2021-10-07T15:57:00Z</cp:lastPrinted>
  <dcterms:created xsi:type="dcterms:W3CDTF">2023-06-19T14:20:00Z</dcterms:created>
  <dcterms:modified xsi:type="dcterms:W3CDTF">2025-01-27T15:54:00Z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2021-10-06T15:28:33Z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ff507535-b11e-4d92-ac56-8f00d03acf39</vt:lpwstr>
  </property>
  <property fmtid="{D5CDD505-2E9C-101B-9397-08002B2CF9AE}" pid="8" name="MSIP_Label_034a106e-6316-442c-ad35-738afd673d2b_ContentBits">
    <vt:lpwstr>0</vt:lpwstr>
  </property>
</Properties>
</file>