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388A0" w14:textId="3EFB1C1E" w:rsidR="00880233" w:rsidRDefault="00880233" w:rsidP="00880233">
      <w:r>
        <w:rPr>
          <w:noProof/>
        </w:rPr>
        <w:drawing>
          <wp:inline distT="0" distB="0" distL="0" distR="0" wp14:anchorId="2912F9DB" wp14:editId="558D663C">
            <wp:extent cx="4783873" cy="774584"/>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944342" cy="800566"/>
                    </a:xfrm>
                    <a:prstGeom prst="rect">
                      <a:avLst/>
                    </a:prstGeom>
                    <a:noFill/>
                    <a:ln>
                      <a:noFill/>
                    </a:ln>
                  </pic:spPr>
                </pic:pic>
              </a:graphicData>
            </a:graphic>
          </wp:inline>
        </w:drawing>
      </w:r>
    </w:p>
    <w:p w14:paraId="4D1CE8B7" w14:textId="3A0C86F1" w:rsidR="004573BE" w:rsidRDefault="00E5096D" w:rsidP="00743AA4">
      <w:pPr>
        <w:spacing w:after="120"/>
        <w:jc w:val="center"/>
        <w:rPr>
          <w:rFonts w:ascii="Arial" w:hAnsi="Arial"/>
          <w:i/>
          <w:sz w:val="18"/>
        </w:rPr>
      </w:pPr>
      <w:r>
        <w:rPr>
          <w:rFonts w:ascii="Arial" w:hAnsi="Arial"/>
          <w:i/>
          <w:sz w:val="18"/>
        </w:rPr>
        <w:t>(</w:t>
      </w:r>
      <w:proofErr w:type="spellStart"/>
      <w:r>
        <w:rPr>
          <w:rFonts w:ascii="Arial" w:hAnsi="Arial"/>
          <w:i/>
          <w:sz w:val="18"/>
        </w:rPr>
        <w:t>Available</w:t>
      </w:r>
      <w:proofErr w:type="spellEnd"/>
      <w:r w:rsidR="004573BE">
        <w:rPr>
          <w:rFonts w:ascii="Arial" w:hAnsi="Arial"/>
          <w:i/>
          <w:sz w:val="18"/>
        </w:rPr>
        <w:t xml:space="preserve"> in English)</w:t>
      </w:r>
    </w:p>
    <w:p w14:paraId="09B5C6CB" w14:textId="77777777" w:rsidR="00743AA4" w:rsidRPr="00C0656C" w:rsidRDefault="00743AA4" w:rsidP="00743AA4">
      <w:pPr>
        <w:spacing w:after="120"/>
        <w:jc w:val="center"/>
        <w:rPr>
          <w:rFonts w:ascii="Arial" w:hAnsi="Arial" w:cs="Arial"/>
          <w:i/>
          <w:iCs/>
          <w:sz w:val="18"/>
          <w:szCs w:val="18"/>
        </w:rPr>
      </w:pPr>
    </w:p>
    <w:p w14:paraId="51FD65E7" w14:textId="5A7EBA5A" w:rsidR="00880233" w:rsidRPr="00BD4B51" w:rsidRDefault="000B4B83" w:rsidP="00BD4B51">
      <w:pPr>
        <w:pStyle w:val="Heading1"/>
      </w:pPr>
      <w:r>
        <w:rPr>
          <w:noProof/>
        </w:rPr>
        <mc:AlternateContent>
          <mc:Choice Requires="wps">
            <w:drawing>
              <wp:anchor distT="0" distB="0" distL="114300" distR="114300" simplePos="0" relativeHeight="251658240" behindDoc="0" locked="0" layoutInCell="1" allowOverlap="1" wp14:anchorId="41972F22" wp14:editId="76199B16">
                <wp:simplePos x="0" y="0"/>
                <wp:positionH relativeFrom="column">
                  <wp:posOffset>-571500</wp:posOffset>
                </wp:positionH>
                <wp:positionV relativeFrom="paragraph">
                  <wp:posOffset>50800</wp:posOffset>
                </wp:positionV>
                <wp:extent cx="113665" cy="8404860"/>
                <wp:effectExtent l="9525" t="12700" r="10160" b="1206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8404860"/>
                        </a:xfrm>
                        <a:prstGeom prst="roundRect">
                          <a:avLst>
                            <a:gd name="adj" fmla="val 16667"/>
                          </a:avLst>
                        </a:prstGeom>
                        <a:solidFill>
                          <a:srgbClr val="99A69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180464" id="Rectangle: Rounded Corners 3" o:spid="_x0000_s1026" style="position:absolute;margin-left:-45pt;margin-top:4pt;width:8.95pt;height:66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" fillcolor="#99a69c"/>
            </w:pict>
          </mc:Fallback>
        </mc:AlternateContent>
      </w:r>
      <w:r>
        <w:t>Accès amélioré à l’observation des audiences</w:t>
      </w:r>
    </w:p>
    <w:p w14:paraId="7676425C" w14:textId="39905695" w:rsidR="00E91CAB" w:rsidRDefault="00E91CAB" w:rsidP="00BD4B51">
      <w:pPr>
        <w:pStyle w:val="Header2"/>
      </w:pPr>
      <w:r>
        <w:t>En quoi consiste l’accès amélioré?</w:t>
      </w:r>
    </w:p>
    <w:p w14:paraId="31DCC2CD" w14:textId="01549CC0" w:rsidR="00E91CAB" w:rsidRDefault="00E91CAB" w:rsidP="00E91CAB">
      <w:pPr>
        <w:rPr>
          <w:rFonts w:ascii="Arial" w:hAnsi="Arial"/>
        </w:rPr>
      </w:pPr>
      <w:r>
        <w:rPr>
          <w:rFonts w:ascii="Arial" w:hAnsi="Arial"/>
        </w:rPr>
        <w:t xml:space="preserve">L’accès amélioré est une approche simple, facile, rapide et conviviale pour rendre plus accessible l’observation des audiences par vidéoconférence sur Zoom. </w:t>
      </w:r>
    </w:p>
    <w:p w14:paraId="7D2A0437" w14:textId="77777777" w:rsidR="00E91CAB" w:rsidRDefault="00E91CAB" w:rsidP="00E91CAB">
      <w:pPr>
        <w:rPr>
          <w:rFonts w:ascii="Arial" w:hAnsi="Arial"/>
        </w:rPr>
      </w:pPr>
    </w:p>
    <w:p w14:paraId="52ED5ABF" w14:textId="2CF91025" w:rsidR="00E91CAB" w:rsidRPr="00BD4B51" w:rsidRDefault="00E91CAB" w:rsidP="00451E2D">
      <w:r>
        <w:rPr>
          <w:rFonts w:ascii="Arial" w:hAnsi="Arial"/>
          <w:color w:val="000000" w:themeColor="text1"/>
        </w:rPr>
        <w:t>À l’heure actuelle, le site Web de la Commission de révision de l’évaluation foncière (CRÉF) contient des renseignements sur la connexion pour les instances par téléphone, mais pas pour les instances par vidéoconférence. Avant le lancement de cette initiative, les membres du public souhaitant assister à une instance par vidéoconférence devaient communiquer avec la CRÉF pour demander le lien Zoom. Désormais, la CRÉF affichera les liens Zoom directement sur son site Web.</w:t>
      </w:r>
    </w:p>
    <w:p w14:paraId="41CE8BCB" w14:textId="7B4E93D7" w:rsidR="005E0D78" w:rsidRPr="00BD4B51" w:rsidRDefault="004D1E83" w:rsidP="00BD4B51">
      <w:pPr>
        <w:pStyle w:val="Header2"/>
      </w:pPr>
      <w:r>
        <w:t>Pourquoi Tribunaux décisionnels Ontario prend-il cette mesure?</w:t>
      </w:r>
    </w:p>
    <w:p w14:paraId="01339019" w14:textId="260E2DEB" w:rsidR="00C5631C" w:rsidRDefault="005E0D78" w:rsidP="00451E2D">
      <w:pPr>
        <w:rPr>
          <w:rFonts w:ascii="Arial" w:hAnsi="Arial"/>
          <w:b/>
          <w:bCs/>
        </w:rPr>
      </w:pPr>
      <w:r>
        <w:rPr>
          <w:rFonts w:ascii="Arial" w:hAnsi="Arial"/>
        </w:rPr>
        <w:t>Tribunaux décisionnels Ontario met en œuvre l’accès amélioré aux fins suivantes :</w:t>
      </w:r>
    </w:p>
    <w:p w14:paraId="6070F4E6" w14:textId="6357997A" w:rsidR="00C5631C" w:rsidRPr="00C5631C" w:rsidRDefault="00C5631C" w:rsidP="00C5631C">
      <w:pPr>
        <w:pStyle w:val="ListParagraph"/>
        <w:numPr>
          <w:ilvl w:val="0"/>
          <w:numId w:val="12"/>
        </w:numPr>
        <w:contextualSpacing/>
        <w:jc w:val="both"/>
      </w:pPr>
      <w:proofErr w:type="gramStart"/>
      <w:r>
        <w:rPr>
          <w:rFonts w:ascii="Arial" w:hAnsi="Arial"/>
          <w:color w:val="000000" w:themeColor="text1"/>
        </w:rPr>
        <w:t>soutenir</w:t>
      </w:r>
      <w:proofErr w:type="gramEnd"/>
      <w:r>
        <w:rPr>
          <w:rFonts w:ascii="Arial" w:hAnsi="Arial"/>
          <w:color w:val="000000" w:themeColor="text1"/>
        </w:rPr>
        <w:t xml:space="preserve"> la transparence et le principe de la publicité de la justice; </w:t>
      </w:r>
    </w:p>
    <w:p w14:paraId="327BFD89" w14:textId="765DD824" w:rsidR="00BE7CD2" w:rsidRPr="00BD4B51" w:rsidRDefault="00C5631C" w:rsidP="00451E2D">
      <w:pPr>
        <w:pStyle w:val="ListParagraph"/>
        <w:numPr>
          <w:ilvl w:val="0"/>
          <w:numId w:val="12"/>
        </w:numPr>
        <w:contextualSpacing/>
        <w:jc w:val="both"/>
      </w:pPr>
      <w:proofErr w:type="gramStart"/>
      <w:r>
        <w:rPr>
          <w:rFonts w:ascii="Arial" w:hAnsi="Arial"/>
          <w:color w:val="000000" w:themeColor="text1"/>
        </w:rPr>
        <w:t>être</w:t>
      </w:r>
      <w:proofErr w:type="gramEnd"/>
      <w:r>
        <w:rPr>
          <w:rFonts w:ascii="Arial" w:hAnsi="Arial"/>
          <w:color w:val="000000" w:themeColor="text1"/>
        </w:rPr>
        <w:t xml:space="preserve"> davantage axé sur les utilisateurs, et favoriser l’éducation du public et la compréhension des procédures judiciaires.</w:t>
      </w:r>
    </w:p>
    <w:p w14:paraId="2D354247" w14:textId="31B50576" w:rsidR="0024498A" w:rsidRDefault="0024498A" w:rsidP="00BD4B51">
      <w:pPr>
        <w:pStyle w:val="Header2"/>
      </w:pPr>
      <w:r>
        <w:t>À quelles audiences la CRÉF donnera-t-elle accès?</w:t>
      </w:r>
    </w:p>
    <w:p w14:paraId="1E3BCBEA" w14:textId="00AC0C11" w:rsidR="0056081D" w:rsidRDefault="00A411DB" w:rsidP="0056081D">
      <w:pPr>
        <w:rPr>
          <w:rFonts w:ascii="Arial" w:hAnsi="Arial"/>
        </w:rPr>
      </w:pPr>
      <w:r>
        <w:rPr>
          <w:rFonts w:ascii="Arial" w:hAnsi="Arial"/>
        </w:rPr>
        <w:t xml:space="preserve">Grâce à cette initiative, il sera possible d’accéder à toutes les audiences par vidéoconférence actuellement ouvertes au public. Les détails des audiences par téléphone ne seront pas touchés et continueront d’être affichés sur le site Web et sur le calendrier électronique de la CRÉF. </w:t>
      </w:r>
    </w:p>
    <w:p w14:paraId="7CCF1EA4" w14:textId="770A8654" w:rsidR="0024498A" w:rsidRDefault="0024498A" w:rsidP="00451E2D">
      <w:pPr>
        <w:rPr>
          <w:rFonts w:ascii="Arial" w:hAnsi="Arial"/>
        </w:rPr>
      </w:pPr>
    </w:p>
    <w:p w14:paraId="68029710" w14:textId="37F7FC0D" w:rsidR="0024498A" w:rsidRDefault="0024498A" w:rsidP="00451E2D">
      <w:pPr>
        <w:rPr>
          <w:rFonts w:ascii="Arial" w:hAnsi="Arial"/>
        </w:rPr>
      </w:pPr>
      <w:r>
        <w:rPr>
          <w:rFonts w:ascii="Arial" w:hAnsi="Arial"/>
        </w:rPr>
        <w:t>L’accès amélioré ne comprend pas les procédures suivantes :</w:t>
      </w:r>
    </w:p>
    <w:p w14:paraId="78CE7C2C" w14:textId="36BEF19C" w:rsidR="0024498A" w:rsidRDefault="0024498A" w:rsidP="0024498A">
      <w:pPr>
        <w:pStyle w:val="ListParagraph"/>
        <w:numPr>
          <w:ilvl w:val="0"/>
          <w:numId w:val="13"/>
        </w:numPr>
        <w:rPr>
          <w:rFonts w:ascii="Arial" w:hAnsi="Arial"/>
        </w:rPr>
      </w:pPr>
      <w:proofErr w:type="gramStart"/>
      <w:r>
        <w:rPr>
          <w:rFonts w:ascii="Arial" w:hAnsi="Arial"/>
        </w:rPr>
        <w:t>les</w:t>
      </w:r>
      <w:proofErr w:type="gramEnd"/>
      <w:r>
        <w:rPr>
          <w:rFonts w:ascii="Arial" w:hAnsi="Arial"/>
        </w:rPr>
        <w:t xml:space="preserve"> conférences en vue d’un règlement amiable;</w:t>
      </w:r>
    </w:p>
    <w:p w14:paraId="5647CFE7" w14:textId="1DADD70F" w:rsidR="0024498A" w:rsidRDefault="0024498A" w:rsidP="0024498A">
      <w:pPr>
        <w:pStyle w:val="ListParagraph"/>
        <w:numPr>
          <w:ilvl w:val="0"/>
          <w:numId w:val="13"/>
        </w:numPr>
        <w:rPr>
          <w:rFonts w:ascii="Arial" w:hAnsi="Arial"/>
        </w:rPr>
      </w:pPr>
      <w:proofErr w:type="gramStart"/>
      <w:r>
        <w:rPr>
          <w:rFonts w:ascii="Arial" w:hAnsi="Arial"/>
        </w:rPr>
        <w:t>les</w:t>
      </w:r>
      <w:proofErr w:type="gramEnd"/>
      <w:r>
        <w:rPr>
          <w:rFonts w:ascii="Arial" w:hAnsi="Arial"/>
        </w:rPr>
        <w:t xml:space="preserve"> demandes en matière d’imposition pour cause de maladie ou de pauvreté extrême;</w:t>
      </w:r>
    </w:p>
    <w:p w14:paraId="7BA37B53" w14:textId="6829F1F9" w:rsidR="00DE01E9" w:rsidRPr="00DE01E9" w:rsidRDefault="00DE01E9" w:rsidP="00DE01E9">
      <w:pPr>
        <w:pStyle w:val="ListParagraph"/>
        <w:numPr>
          <w:ilvl w:val="0"/>
          <w:numId w:val="13"/>
        </w:numPr>
        <w:rPr>
          <w:rFonts w:ascii="Arial" w:hAnsi="Arial"/>
        </w:rPr>
      </w:pPr>
      <w:proofErr w:type="gramStart"/>
      <w:r>
        <w:rPr>
          <w:rFonts w:ascii="Arial" w:hAnsi="Arial"/>
        </w:rPr>
        <w:t>toute</w:t>
      </w:r>
      <w:proofErr w:type="gramEnd"/>
      <w:r>
        <w:rPr>
          <w:rFonts w:ascii="Arial" w:hAnsi="Arial"/>
        </w:rPr>
        <w:t xml:space="preserve"> autre question pour laquelle la CRÉF a ordonné que les renseignements soient traités comme confidentiels et ne soient pas divulgués au public, conformément aux Règles de pratique et de procédure de la CRÉF.</w:t>
      </w:r>
    </w:p>
    <w:p w14:paraId="656D7FAB" w14:textId="242192A6" w:rsidR="002E381E" w:rsidRDefault="00894B5D" w:rsidP="00BD4B51">
      <w:pPr>
        <w:pStyle w:val="Header2"/>
      </w:pPr>
      <w:r>
        <w:t>Étiquette attendue de l’observateur</w:t>
      </w:r>
    </w:p>
    <w:p w14:paraId="309A9B64" w14:textId="4E464AE9" w:rsidR="00392836" w:rsidRDefault="00392836" w:rsidP="0075043B">
      <w:pPr>
        <w:rPr>
          <w:rFonts w:ascii="Arial" w:hAnsi="Arial"/>
        </w:rPr>
      </w:pPr>
      <w:r>
        <w:rPr>
          <w:rFonts w:ascii="Arial" w:hAnsi="Arial"/>
        </w:rPr>
        <w:t xml:space="preserve">La CRÉF demande à toute personne qui observe une audience (c.-à-d. l’observateur) de suivre ces directives pour limiter les perturbations durant l’instance. </w:t>
      </w:r>
    </w:p>
    <w:p w14:paraId="6BFF2D03" w14:textId="376EAE3F" w:rsidR="00392836" w:rsidRDefault="00392836" w:rsidP="0075043B">
      <w:pPr>
        <w:rPr>
          <w:rFonts w:ascii="Arial" w:hAnsi="Arial"/>
        </w:rPr>
      </w:pPr>
    </w:p>
    <w:p w14:paraId="72D4B87B" w14:textId="3F8524CC" w:rsidR="00392836" w:rsidRDefault="00392836" w:rsidP="00392836">
      <w:pPr>
        <w:pStyle w:val="ListParagraph"/>
        <w:numPr>
          <w:ilvl w:val="0"/>
          <w:numId w:val="16"/>
        </w:numPr>
        <w:rPr>
          <w:rFonts w:ascii="Arial" w:hAnsi="Arial"/>
        </w:rPr>
      </w:pPr>
      <w:r>
        <w:rPr>
          <w:rFonts w:ascii="Arial" w:hAnsi="Arial"/>
        </w:rPr>
        <w:t>Les observateurs doivent arriver à l’heure à l’audience; les retardataires ne sont pas autorisés à entrer dans la salle où se tient l’audience avant une éventuelle pause.</w:t>
      </w:r>
    </w:p>
    <w:p w14:paraId="40688165" w14:textId="79B4B025" w:rsidR="00392836" w:rsidRDefault="00392836" w:rsidP="00392836">
      <w:pPr>
        <w:pStyle w:val="ListParagraph"/>
        <w:numPr>
          <w:ilvl w:val="0"/>
          <w:numId w:val="16"/>
        </w:numPr>
        <w:rPr>
          <w:rFonts w:ascii="Arial" w:hAnsi="Arial"/>
        </w:rPr>
      </w:pPr>
      <w:r>
        <w:rPr>
          <w:rFonts w:ascii="Arial" w:hAnsi="Arial"/>
        </w:rPr>
        <w:lastRenderedPageBreak/>
        <w:t>Il est interdit aux observateurs d’enregistrer les instances de la CRÉF.</w:t>
      </w:r>
    </w:p>
    <w:p w14:paraId="5A43C496" w14:textId="23D6840A" w:rsidR="00392836" w:rsidRDefault="00392836" w:rsidP="00392836">
      <w:pPr>
        <w:pStyle w:val="ListParagraph"/>
        <w:numPr>
          <w:ilvl w:val="0"/>
          <w:numId w:val="16"/>
        </w:numPr>
        <w:rPr>
          <w:rFonts w:ascii="Arial" w:hAnsi="Arial"/>
        </w:rPr>
      </w:pPr>
      <w:r>
        <w:rPr>
          <w:rFonts w:ascii="Arial" w:hAnsi="Arial"/>
        </w:rPr>
        <w:t>Il sera demandé aux observateurs de s’identifier et de fournir leurs coordonnées pour les dossiers de la CRÉF.</w:t>
      </w:r>
    </w:p>
    <w:p w14:paraId="2F30110F" w14:textId="28E86A90" w:rsidR="00392836" w:rsidRDefault="00392836" w:rsidP="00392836">
      <w:pPr>
        <w:pStyle w:val="ListParagraph"/>
        <w:numPr>
          <w:ilvl w:val="0"/>
          <w:numId w:val="16"/>
        </w:numPr>
        <w:rPr>
          <w:rFonts w:ascii="Arial" w:hAnsi="Arial"/>
        </w:rPr>
      </w:pPr>
      <w:r>
        <w:rPr>
          <w:rFonts w:ascii="Arial" w:hAnsi="Arial"/>
        </w:rPr>
        <w:t>Les observateurs doivent indiquer et confirmer la raison et l’objectif de leur présence à l’audience.</w:t>
      </w:r>
    </w:p>
    <w:p w14:paraId="2C1F7EEE" w14:textId="37219BAF" w:rsidR="00392836" w:rsidRDefault="00392836" w:rsidP="000B76EA">
      <w:pPr>
        <w:pStyle w:val="ListParagraph"/>
        <w:numPr>
          <w:ilvl w:val="0"/>
          <w:numId w:val="16"/>
        </w:numPr>
        <w:rPr>
          <w:rFonts w:ascii="Arial" w:hAnsi="Arial"/>
        </w:rPr>
      </w:pPr>
      <w:r>
        <w:rPr>
          <w:rFonts w:ascii="Arial" w:hAnsi="Arial"/>
        </w:rPr>
        <w:t>Les observateurs doivent désactiver leur microphone et leur caméra.</w:t>
      </w:r>
    </w:p>
    <w:p w14:paraId="6B3D470A" w14:textId="77942C33" w:rsidR="005D1A06" w:rsidRDefault="005D1A06" w:rsidP="005D1A06">
      <w:pPr>
        <w:pStyle w:val="ListParagraph"/>
        <w:numPr>
          <w:ilvl w:val="0"/>
          <w:numId w:val="16"/>
        </w:numPr>
        <w:rPr>
          <w:rFonts w:ascii="Arial" w:hAnsi="Arial"/>
        </w:rPr>
      </w:pPr>
      <w:r>
        <w:rPr>
          <w:rFonts w:ascii="Arial" w:hAnsi="Arial"/>
        </w:rPr>
        <w:t>Les observateurs ne peuvent pas interagir avec les parties ou la CRÉF, ni interrompre l’audience de quelque manière que ce soit.</w:t>
      </w:r>
    </w:p>
    <w:p w14:paraId="040DAC70" w14:textId="0A70A60E" w:rsidR="00392836" w:rsidRPr="009873B2" w:rsidRDefault="00392836" w:rsidP="00392836">
      <w:pPr>
        <w:pStyle w:val="ListParagraph"/>
        <w:numPr>
          <w:ilvl w:val="0"/>
          <w:numId w:val="16"/>
        </w:numPr>
        <w:rPr>
          <w:rFonts w:ascii="Arial" w:hAnsi="Arial"/>
        </w:rPr>
      </w:pPr>
      <w:r>
        <w:rPr>
          <w:rFonts w:ascii="Arial" w:hAnsi="Arial"/>
        </w:rPr>
        <w:t>Si la CRÉF met fin à l’appel sur Zoom pour prendre une pause durant l’instance, il incombe aux observateurs de se reconnecter à la vidéoconférence.</w:t>
      </w:r>
    </w:p>
    <w:p w14:paraId="65859C91" w14:textId="77777777" w:rsidR="00392836" w:rsidRDefault="00392836" w:rsidP="0075043B">
      <w:pPr>
        <w:rPr>
          <w:rFonts w:ascii="Arial" w:hAnsi="Arial"/>
        </w:rPr>
      </w:pPr>
    </w:p>
    <w:p w14:paraId="5EEAFF77" w14:textId="7B9D7513" w:rsidR="00392836" w:rsidRPr="00BD4B51" w:rsidRDefault="00432DC1" w:rsidP="0075043B">
      <w:pPr>
        <w:rPr>
          <w:rFonts w:ascii="Arial" w:hAnsi="Arial"/>
        </w:rPr>
      </w:pPr>
      <w:r>
        <w:rPr>
          <w:rFonts w:ascii="Arial" w:hAnsi="Arial"/>
        </w:rPr>
        <w:t xml:space="preserve">Le membre de la CRÉF qui préside l’audience peut, à tout moment et à sa discrétion, retirer un observateur d’une instance. </w:t>
      </w:r>
    </w:p>
    <w:p w14:paraId="71871323" w14:textId="62A1674A" w:rsidR="00BE7CD2" w:rsidRDefault="00BE7CD2" w:rsidP="00BD4B51">
      <w:pPr>
        <w:pStyle w:val="Header2"/>
      </w:pPr>
      <w:r>
        <w:t>Où puis-je trouver plus de renseignements?</w:t>
      </w:r>
    </w:p>
    <w:p w14:paraId="2AA27987" w14:textId="6FFFEC8C" w:rsidR="00ED383E" w:rsidRPr="00597B29" w:rsidRDefault="00ED383E" w:rsidP="00BD4B51">
      <w:pPr>
        <w:pStyle w:val="Heading1"/>
        <w:jc w:val="left"/>
        <w:rPr>
          <w:b w:val="0"/>
          <w:bCs w:val="0"/>
          <w:sz w:val="24"/>
        </w:rPr>
      </w:pPr>
      <w:r>
        <w:rPr>
          <w:b w:val="0"/>
          <w:sz w:val="24"/>
        </w:rPr>
        <w:t xml:space="preserve">Pour obtenir de plus amples renseignements sur l’accès amélioré, veuillez consulter la page Assister à une audience à titre d’observateur sur le site Web de la CRÉF, ou nous envoyer un courriel à l’adresse suivante : </w:t>
      </w:r>
      <w:hyperlink r:id="rId12">
        <w:r>
          <w:rPr>
            <w:rStyle w:val="Hyperlink"/>
            <w:b/>
            <w:sz w:val="24"/>
          </w:rPr>
          <w:t>arb.registrar@ontario.ca</w:t>
        </w:r>
      </w:hyperlink>
      <w:r>
        <w:rPr>
          <w:b w:val="0"/>
          <w:sz w:val="24"/>
        </w:rPr>
        <w:t xml:space="preserve">.  </w:t>
      </w:r>
    </w:p>
    <w:p w14:paraId="55883ACF" w14:textId="31E720FB" w:rsidR="00451E2D" w:rsidRPr="00BD4B51" w:rsidRDefault="00BE7CD2" w:rsidP="00BD4B51">
      <w:pPr>
        <w:pStyle w:val="Header2"/>
      </w:pPr>
      <w:r>
        <w:t>Mise en garde</w:t>
      </w:r>
    </w:p>
    <w:p w14:paraId="3179DA75" w14:textId="1DC1F5E2" w:rsidR="002E1B1D" w:rsidRPr="00DF5101" w:rsidRDefault="00ED383E" w:rsidP="00DF5101">
      <w:pPr>
        <w:spacing w:after="240"/>
        <w:rPr>
          <w:color w:val="FFFFFF"/>
          <w:szCs w:val="18"/>
        </w:rPr>
      </w:pPr>
      <w:r>
        <w:rPr>
          <w:rFonts w:ascii="Arial" w:hAnsi="Arial"/>
        </w:rPr>
        <w:t xml:space="preserve">Les renseignements figurant dans la présente fiche d’information ne constituent pas des conseils, juridiques ou autres; la CRÉF n’est nullement responsable des erreurs ou omissions que le présent document pourrait comporter, ni de l’utilisation des renseignements qui s’y trouvent. Il est possible d’obtenir des renseignements supplémentaires, y compris les Règles de pratique et de procédure de la CRÉF, en consultant </w:t>
      </w:r>
      <w:hyperlink r:id="rId13" w:history="1">
        <w:r>
          <w:rPr>
            <w:rStyle w:val="Hyperlink"/>
            <w:sz w:val="24"/>
          </w:rPr>
          <w:t>notre site Web</w:t>
        </w:r>
      </w:hyperlink>
      <w:r>
        <w:rPr>
          <w:rFonts w:ascii="Arial" w:hAnsi="Arial"/>
        </w:rPr>
        <w:t xml:space="preserve">, ou en envoyant un courriel à l’adresse </w:t>
      </w:r>
      <w:bookmarkStart w:id="0" w:name="_Hlk161385185"/>
      <w:r w:rsidR="00E91CAB">
        <w:fldChar w:fldCharType="begin"/>
      </w:r>
      <w:r w:rsidR="009B3A7A">
        <w:instrText>HYPERLINK "mailto:arb.registrar@ontario.ca"</w:instrText>
      </w:r>
      <w:r w:rsidR="00E91CAB">
        <w:fldChar w:fldCharType="separate"/>
      </w:r>
      <w:r>
        <w:rPr>
          <w:rStyle w:val="Hyperlink"/>
          <w:sz w:val="24"/>
        </w:rPr>
        <w:t>arb.registrar@ontario.ca</w:t>
      </w:r>
      <w:r w:rsidR="00E91CAB">
        <w:rPr>
          <w:rStyle w:val="Hyperlink"/>
          <w:sz w:val="24"/>
        </w:rPr>
        <w:fldChar w:fldCharType="end"/>
      </w:r>
      <w:bookmarkEnd w:id="0"/>
      <w:r>
        <w:rPr>
          <w:rFonts w:ascii="Arial" w:hAnsi="Arial"/>
        </w:rPr>
        <w:t>. La présente fiche et d’autres renseignements peuvent être mis à jour de temps à autre.</w:t>
      </w:r>
    </w:p>
    <w:tbl>
      <w:tblPr>
        <w:tblStyle w:val="TableGrid"/>
        <w:tblW w:w="0" w:type="auto"/>
        <w:tblInd w:w="959" w:type="dxa"/>
        <w:tblLook w:val="04A0" w:firstRow="1" w:lastRow="0" w:firstColumn="1" w:lastColumn="0" w:noHBand="0" w:noVBand="1"/>
      </w:tblPr>
      <w:tblGrid>
        <w:gridCol w:w="2292"/>
        <w:gridCol w:w="6928"/>
      </w:tblGrid>
      <w:tr w:rsidR="00FA4953" w14:paraId="7129756F" w14:textId="77777777" w:rsidTr="000B76EA">
        <w:trPr>
          <w:trHeight w:val="1832"/>
        </w:trPr>
        <w:tc>
          <w:tcPr>
            <w:tcW w:w="229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ABE8163" w14:textId="77777777" w:rsidR="00FA4953" w:rsidRDefault="00FA4953" w:rsidP="000B76EA">
            <w:pPr>
              <w:autoSpaceDE w:val="0"/>
              <w:autoSpaceDN w:val="0"/>
              <w:adjustRightInd w:val="0"/>
              <w:spacing w:before="80"/>
              <w:jc w:val="center"/>
              <w:rPr>
                <w:sz w:val="16"/>
              </w:rPr>
            </w:pPr>
            <w:r>
              <w:rPr>
                <w:noProof/>
                <w:color w:val="0000FF"/>
              </w:rPr>
              <w:drawing>
                <wp:inline distT="0" distB="0" distL="0" distR="0" wp14:anchorId="4795E9DD" wp14:editId="5D39945B">
                  <wp:extent cx="1318260" cy="1135380"/>
                  <wp:effectExtent l="0" t="0" r="0" b="7620"/>
                  <wp:docPr id="1" name="Picture 1" descr="Ontario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ntario Cre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8260" cy="1135380"/>
                          </a:xfrm>
                          <a:prstGeom prst="rect">
                            <a:avLst/>
                          </a:prstGeom>
                          <a:noFill/>
                          <a:ln>
                            <a:noFill/>
                          </a:ln>
                        </pic:spPr>
                      </pic:pic>
                    </a:graphicData>
                  </a:graphic>
                </wp:inline>
              </w:drawing>
            </w:r>
          </w:p>
        </w:tc>
        <w:tc>
          <w:tcPr>
            <w:tcW w:w="6928" w:type="dxa"/>
            <w:tcBorders>
              <w:top w:val="single" w:sz="4" w:space="0" w:color="auto"/>
              <w:left w:val="single" w:sz="4" w:space="0" w:color="auto"/>
              <w:bottom w:val="single" w:sz="4" w:space="0" w:color="auto"/>
              <w:right w:val="single" w:sz="4" w:space="0" w:color="auto"/>
            </w:tcBorders>
          </w:tcPr>
          <w:p w14:paraId="6976865C" w14:textId="77777777" w:rsidR="00FA4953" w:rsidRDefault="00FA4953" w:rsidP="000B76EA">
            <w:pPr>
              <w:rPr>
                <w:rFonts w:ascii="Arial" w:hAnsi="Arial" w:cs="Arial"/>
                <w:bCs/>
                <w:color w:val="000000"/>
                <w:sz w:val="16"/>
                <w:szCs w:val="16"/>
                <w:lang w:eastAsia="en-CA"/>
              </w:rPr>
            </w:pPr>
          </w:p>
          <w:p w14:paraId="030D57A2" w14:textId="7827D813" w:rsidR="00FA4953" w:rsidRDefault="00FA4953" w:rsidP="000B76EA">
            <w:pPr>
              <w:jc w:val="both"/>
              <w:rPr>
                <w:rFonts w:ascii="Arial" w:hAnsi="Arial" w:cs="Arial"/>
                <w:color w:val="000000"/>
                <w:sz w:val="16"/>
                <w:szCs w:val="16"/>
              </w:rPr>
            </w:pPr>
            <w:r>
              <w:rPr>
                <w:rFonts w:ascii="Arial" w:hAnsi="Arial"/>
                <w:b/>
                <w:bCs/>
                <w:color w:val="000000"/>
                <w:sz w:val="16"/>
              </w:rPr>
              <w:t>Tribunaux décisionnels Ontario</w:t>
            </w:r>
            <w:r>
              <w:rPr>
                <w:rFonts w:ascii="Arial" w:hAnsi="Arial"/>
                <w:color w:val="000000"/>
                <w:sz w:val="16"/>
              </w:rPr>
              <w:t xml:space="preserve"> se compose de 13 tribunaux dont la mission est de régler des différends dans les secteurs des services sociaux, de l’évaluation foncière, de la sécurité et de la délivrance de permis.</w:t>
            </w:r>
          </w:p>
          <w:p w14:paraId="31E79E05" w14:textId="77777777" w:rsidR="00FA4953" w:rsidRDefault="00FA4953" w:rsidP="000B76EA">
            <w:pPr>
              <w:jc w:val="both"/>
              <w:rPr>
                <w:rFonts w:ascii="Arial" w:hAnsi="Arial" w:cs="Arial"/>
                <w:color w:val="000000"/>
                <w:sz w:val="16"/>
                <w:szCs w:val="16"/>
                <w:lang w:eastAsia="en-CA"/>
              </w:rPr>
            </w:pPr>
          </w:p>
          <w:p w14:paraId="1DA5FA31" w14:textId="77777777" w:rsidR="00FA4953" w:rsidRDefault="00FA4953" w:rsidP="000B76EA">
            <w:pPr>
              <w:jc w:val="both"/>
              <w:rPr>
                <w:rFonts w:ascii="Arial" w:hAnsi="Arial" w:cs="Arial"/>
                <w:color w:val="000000"/>
                <w:sz w:val="16"/>
                <w:szCs w:val="16"/>
              </w:rPr>
            </w:pPr>
            <w:r>
              <w:rPr>
                <w:rFonts w:ascii="Arial" w:hAnsi="Arial"/>
                <w:color w:val="000000"/>
                <w:sz w:val="16"/>
              </w:rPr>
              <w:t xml:space="preserve">La </w:t>
            </w:r>
            <w:r>
              <w:rPr>
                <w:rFonts w:ascii="Arial" w:hAnsi="Arial"/>
                <w:b/>
                <w:bCs/>
                <w:color w:val="000000"/>
                <w:sz w:val="16"/>
              </w:rPr>
              <w:t>Commission de révision de l’évaluation foncière</w:t>
            </w:r>
            <w:r>
              <w:rPr>
                <w:rFonts w:ascii="Arial" w:hAnsi="Arial"/>
                <w:color w:val="000000"/>
                <w:sz w:val="16"/>
              </w:rPr>
              <w:t xml:space="preserve"> a pour mandat de trancher des appels déposés par des personnes qui estiment qu’une erreur a été commise dans la valeur évaluée ou dans la classification d’un bien-fonds, et de traiter de certains types d’appels relatifs aux impôts fonciers en vertu de la </w:t>
            </w:r>
            <w:r>
              <w:rPr>
                <w:rFonts w:ascii="Arial" w:hAnsi="Arial"/>
                <w:i/>
                <w:iCs/>
                <w:color w:val="000000"/>
                <w:sz w:val="16"/>
              </w:rPr>
              <w:t>Loi sur les municipalités</w:t>
            </w:r>
            <w:r>
              <w:rPr>
                <w:rFonts w:ascii="Arial" w:hAnsi="Arial"/>
                <w:color w:val="000000"/>
                <w:sz w:val="16"/>
              </w:rPr>
              <w:t xml:space="preserve"> et de la </w:t>
            </w:r>
            <w:r>
              <w:rPr>
                <w:rFonts w:ascii="Arial" w:hAnsi="Arial"/>
                <w:i/>
                <w:iCs/>
                <w:color w:val="000000"/>
                <w:sz w:val="16"/>
              </w:rPr>
              <w:t>Loi sur la cité de Toronto</w:t>
            </w:r>
            <w:r>
              <w:rPr>
                <w:rFonts w:ascii="Arial" w:hAnsi="Arial"/>
                <w:color w:val="000000"/>
                <w:sz w:val="16"/>
              </w:rPr>
              <w:t>. Pour plus de renseignements, communiquez avec nous :</w:t>
            </w:r>
          </w:p>
          <w:p w14:paraId="037BE227" w14:textId="77777777" w:rsidR="00FA4953" w:rsidRDefault="00FA4953" w:rsidP="000B76EA">
            <w:pPr>
              <w:jc w:val="both"/>
              <w:rPr>
                <w:rFonts w:ascii="Arial" w:hAnsi="Arial" w:cs="Arial"/>
                <w:b/>
                <w:bCs/>
                <w:color w:val="000000"/>
                <w:sz w:val="16"/>
                <w:szCs w:val="16"/>
                <w:lang w:eastAsia="en-CA"/>
              </w:rPr>
            </w:pPr>
          </w:p>
          <w:p w14:paraId="429F960F" w14:textId="77777777" w:rsidR="00FA4953" w:rsidRDefault="00FA4953" w:rsidP="000B76EA">
            <w:pPr>
              <w:jc w:val="both"/>
              <w:rPr>
                <w:rFonts w:ascii="Arial" w:hAnsi="Arial" w:cs="Arial"/>
                <w:b/>
                <w:bCs/>
                <w:color w:val="000000"/>
                <w:sz w:val="16"/>
                <w:szCs w:val="16"/>
                <w:lang w:eastAsia="en-CA"/>
              </w:rPr>
            </w:pPr>
          </w:p>
          <w:p w14:paraId="7F4C9782" w14:textId="77777777" w:rsidR="00FA4953" w:rsidRDefault="00FA4953" w:rsidP="000B76EA">
            <w:pPr>
              <w:jc w:val="both"/>
              <w:rPr>
                <w:rFonts w:ascii="Arial" w:hAnsi="Arial" w:cs="Arial"/>
                <w:color w:val="000000"/>
                <w:sz w:val="16"/>
                <w:szCs w:val="16"/>
              </w:rPr>
            </w:pPr>
            <w:r>
              <w:rPr>
                <w:rFonts w:ascii="Arial" w:hAnsi="Arial"/>
                <w:b/>
                <w:color w:val="000000"/>
                <w:sz w:val="16"/>
              </w:rPr>
              <w:t>Tribunaux décisionnels Ontario – Commission de révision de l’évaluation foncière</w:t>
            </w:r>
          </w:p>
          <w:p w14:paraId="71B235B8" w14:textId="64C9BE33" w:rsidR="00FA4953" w:rsidRDefault="00ED383E" w:rsidP="000B76EA">
            <w:pPr>
              <w:autoSpaceDE w:val="0"/>
              <w:autoSpaceDN w:val="0"/>
              <w:adjustRightInd w:val="0"/>
              <w:jc w:val="both"/>
              <w:rPr>
                <w:rFonts w:ascii="Arial" w:hAnsi="Arial" w:cs="Arial"/>
                <w:color w:val="000000"/>
                <w:sz w:val="16"/>
                <w:szCs w:val="16"/>
              </w:rPr>
            </w:pPr>
            <w:r>
              <w:rPr>
                <w:rFonts w:ascii="Arial" w:hAnsi="Arial"/>
                <w:color w:val="000000"/>
                <w:sz w:val="16"/>
              </w:rPr>
              <w:t>15, rue </w:t>
            </w:r>
            <w:proofErr w:type="spellStart"/>
            <w:r>
              <w:rPr>
                <w:rFonts w:ascii="Arial" w:hAnsi="Arial"/>
                <w:color w:val="000000"/>
                <w:sz w:val="16"/>
              </w:rPr>
              <w:t>Grosvenor</w:t>
            </w:r>
            <w:proofErr w:type="spellEnd"/>
            <w:r>
              <w:rPr>
                <w:rFonts w:ascii="Arial" w:hAnsi="Arial"/>
                <w:color w:val="000000"/>
                <w:sz w:val="16"/>
              </w:rPr>
              <w:t>, rez-de-chaussée, Toronto (</w:t>
            </w:r>
            <w:proofErr w:type="gramStart"/>
            <w:r>
              <w:rPr>
                <w:rFonts w:ascii="Arial" w:hAnsi="Arial"/>
                <w:color w:val="000000"/>
                <w:sz w:val="16"/>
              </w:rPr>
              <w:t>Ontario)  M</w:t>
            </w:r>
            <w:proofErr w:type="gramEnd"/>
            <w:r>
              <w:rPr>
                <w:rFonts w:ascii="Arial" w:hAnsi="Arial"/>
                <w:color w:val="000000"/>
                <w:sz w:val="16"/>
              </w:rPr>
              <w:t>7A 2G6</w:t>
            </w:r>
          </w:p>
          <w:p w14:paraId="5CC3D086" w14:textId="747DC200" w:rsidR="00FA4953" w:rsidRDefault="00FA4953" w:rsidP="000B76EA">
            <w:pPr>
              <w:autoSpaceDE w:val="0"/>
              <w:autoSpaceDN w:val="0"/>
              <w:adjustRightInd w:val="0"/>
              <w:jc w:val="both"/>
              <w:rPr>
                <w:rFonts w:ascii="Arial" w:hAnsi="Arial" w:cs="Arial"/>
                <w:sz w:val="16"/>
                <w:szCs w:val="16"/>
              </w:rPr>
            </w:pPr>
            <w:r>
              <w:rPr>
                <w:rFonts w:ascii="Arial" w:hAnsi="Arial"/>
                <w:color w:val="000000"/>
                <w:sz w:val="16"/>
              </w:rPr>
              <w:t>Site Web :</w:t>
            </w:r>
            <w:r w:rsidR="00AB01A5">
              <w:rPr>
                <w:rFonts w:ascii="Arial" w:hAnsi="Arial"/>
                <w:color w:val="000000"/>
                <w:sz w:val="16"/>
              </w:rPr>
              <w:t xml:space="preserve">  </w:t>
            </w:r>
            <w:hyperlink r:id="rId15" w:history="1">
              <w:r w:rsidR="00AB01A5" w:rsidRPr="00D65DD3">
                <w:rPr>
                  <w:rStyle w:val="Hyperlink"/>
                  <w:sz w:val="14"/>
                </w:rPr>
                <w:t>http://tribunalsontario.ca/cref/</w:t>
              </w:r>
            </w:hyperlink>
          </w:p>
          <w:p w14:paraId="5F23881C" w14:textId="77777777" w:rsidR="00FA4953" w:rsidRDefault="00FA4953" w:rsidP="000B76EA">
            <w:pPr>
              <w:autoSpaceDE w:val="0"/>
              <w:autoSpaceDN w:val="0"/>
              <w:adjustRightInd w:val="0"/>
              <w:jc w:val="both"/>
              <w:rPr>
                <w:sz w:val="16"/>
              </w:rPr>
            </w:pPr>
          </w:p>
        </w:tc>
      </w:tr>
    </w:tbl>
    <w:p w14:paraId="790291AE" w14:textId="77777777" w:rsidR="00AB01A5" w:rsidRDefault="00AB01A5" w:rsidP="002E1B1D">
      <w:pPr>
        <w:autoSpaceDE w:val="0"/>
        <w:autoSpaceDN w:val="0"/>
        <w:adjustRightInd w:val="0"/>
        <w:jc w:val="both"/>
        <w:rPr>
          <w:rFonts w:ascii="Arial" w:hAnsi="Arial"/>
          <w:sz w:val="16"/>
          <w:lang w:val="en-CA"/>
        </w:rPr>
      </w:pPr>
    </w:p>
    <w:p w14:paraId="5293B272" w14:textId="77777777" w:rsidR="00AB01A5" w:rsidRDefault="00AB01A5" w:rsidP="002E1B1D">
      <w:pPr>
        <w:autoSpaceDE w:val="0"/>
        <w:autoSpaceDN w:val="0"/>
        <w:adjustRightInd w:val="0"/>
        <w:jc w:val="both"/>
        <w:rPr>
          <w:rFonts w:ascii="Arial" w:hAnsi="Arial"/>
          <w:sz w:val="16"/>
          <w:lang w:val="en-CA"/>
        </w:rPr>
      </w:pPr>
    </w:p>
    <w:p w14:paraId="15721D0C" w14:textId="77777777" w:rsidR="00AB01A5" w:rsidRDefault="00AB01A5" w:rsidP="002E1B1D">
      <w:pPr>
        <w:autoSpaceDE w:val="0"/>
        <w:autoSpaceDN w:val="0"/>
        <w:adjustRightInd w:val="0"/>
        <w:jc w:val="both"/>
        <w:rPr>
          <w:rFonts w:ascii="Arial" w:hAnsi="Arial"/>
          <w:sz w:val="16"/>
          <w:lang w:val="en-CA"/>
        </w:rPr>
      </w:pPr>
    </w:p>
    <w:p w14:paraId="4F248D39" w14:textId="77777777" w:rsidR="00AB01A5" w:rsidRDefault="00AB01A5" w:rsidP="002E1B1D">
      <w:pPr>
        <w:autoSpaceDE w:val="0"/>
        <w:autoSpaceDN w:val="0"/>
        <w:adjustRightInd w:val="0"/>
        <w:jc w:val="both"/>
        <w:rPr>
          <w:rFonts w:ascii="Arial" w:hAnsi="Arial"/>
          <w:sz w:val="16"/>
          <w:lang w:val="en-CA"/>
        </w:rPr>
      </w:pPr>
    </w:p>
    <w:p w14:paraId="745F34F0" w14:textId="77777777" w:rsidR="00AB01A5" w:rsidRDefault="00AB01A5" w:rsidP="002E1B1D">
      <w:pPr>
        <w:autoSpaceDE w:val="0"/>
        <w:autoSpaceDN w:val="0"/>
        <w:adjustRightInd w:val="0"/>
        <w:jc w:val="both"/>
        <w:rPr>
          <w:rFonts w:ascii="Arial" w:hAnsi="Arial"/>
          <w:sz w:val="16"/>
          <w:lang w:val="en-CA"/>
        </w:rPr>
      </w:pPr>
    </w:p>
    <w:p w14:paraId="343AA282" w14:textId="77777777" w:rsidR="00AB01A5" w:rsidRDefault="00AB01A5" w:rsidP="002E1B1D">
      <w:pPr>
        <w:autoSpaceDE w:val="0"/>
        <w:autoSpaceDN w:val="0"/>
        <w:adjustRightInd w:val="0"/>
        <w:jc w:val="both"/>
        <w:rPr>
          <w:rFonts w:ascii="Arial" w:hAnsi="Arial"/>
          <w:sz w:val="16"/>
          <w:lang w:val="en-CA"/>
        </w:rPr>
      </w:pPr>
    </w:p>
    <w:p w14:paraId="6A3AE5ED" w14:textId="77777777" w:rsidR="00AB01A5" w:rsidRDefault="00AB01A5" w:rsidP="002E1B1D">
      <w:pPr>
        <w:autoSpaceDE w:val="0"/>
        <w:autoSpaceDN w:val="0"/>
        <w:adjustRightInd w:val="0"/>
        <w:jc w:val="both"/>
        <w:rPr>
          <w:rFonts w:ascii="Arial" w:hAnsi="Arial"/>
          <w:sz w:val="16"/>
          <w:lang w:val="en-CA"/>
        </w:rPr>
      </w:pPr>
    </w:p>
    <w:p w14:paraId="6ABC5DE1" w14:textId="77777777" w:rsidR="00AB01A5" w:rsidRDefault="00AB01A5" w:rsidP="002E1B1D">
      <w:pPr>
        <w:autoSpaceDE w:val="0"/>
        <w:autoSpaceDN w:val="0"/>
        <w:adjustRightInd w:val="0"/>
        <w:jc w:val="both"/>
        <w:rPr>
          <w:rFonts w:ascii="Arial" w:hAnsi="Arial"/>
          <w:sz w:val="16"/>
          <w:lang w:val="en-CA"/>
        </w:rPr>
      </w:pPr>
    </w:p>
    <w:p w14:paraId="299149DE" w14:textId="77777777" w:rsidR="00AB01A5" w:rsidRDefault="00AB01A5" w:rsidP="002E1B1D">
      <w:pPr>
        <w:autoSpaceDE w:val="0"/>
        <w:autoSpaceDN w:val="0"/>
        <w:adjustRightInd w:val="0"/>
        <w:jc w:val="both"/>
        <w:rPr>
          <w:rFonts w:ascii="Arial" w:hAnsi="Arial"/>
          <w:sz w:val="16"/>
          <w:lang w:val="en-CA"/>
        </w:rPr>
      </w:pPr>
    </w:p>
    <w:p w14:paraId="5E8B064E" w14:textId="45CB819F" w:rsidR="002E1B1D" w:rsidRDefault="00AB01A5" w:rsidP="00AB01A5">
      <w:pPr>
        <w:autoSpaceDE w:val="0"/>
        <w:autoSpaceDN w:val="0"/>
        <w:adjustRightInd w:val="0"/>
        <w:jc w:val="right"/>
        <w:rPr>
          <w:color w:val="FFFFFF"/>
          <w:szCs w:val="18"/>
        </w:rPr>
      </w:pPr>
      <w:r w:rsidRPr="00952E74">
        <w:rPr>
          <w:rFonts w:ascii="Arial" w:hAnsi="Arial"/>
          <w:sz w:val="16"/>
          <w:lang w:val="en-CA"/>
        </w:rPr>
        <w:t>Ava</w:t>
      </w:r>
      <w:r>
        <w:rPr>
          <w:rFonts w:ascii="Arial" w:hAnsi="Arial"/>
          <w:sz w:val="16"/>
          <w:lang w:val="en-CA"/>
        </w:rPr>
        <w:t>il</w:t>
      </w:r>
      <w:r w:rsidRPr="00952E74">
        <w:rPr>
          <w:rFonts w:ascii="Arial" w:hAnsi="Arial"/>
          <w:sz w:val="16"/>
          <w:lang w:val="en-CA"/>
        </w:rPr>
        <w:t xml:space="preserve">able in English: </w:t>
      </w:r>
      <w:r w:rsidRPr="00E02EA0">
        <w:rPr>
          <w:lang w:val="en-CA"/>
        </w:rPr>
        <w:t xml:space="preserve"> </w:t>
      </w:r>
      <w:r w:rsidRPr="00E02EA0">
        <w:rPr>
          <w:rFonts w:ascii="Arial" w:hAnsi="Arial"/>
          <w:sz w:val="16"/>
          <w:lang w:val="en-CA"/>
        </w:rPr>
        <w:t>Enhanced Access to Observe Hearings</w:t>
      </w:r>
    </w:p>
    <w:sectPr w:rsidR="002E1B1D" w:rsidSect="00E5096D">
      <w:footerReference w:type="default" r:id="rId16"/>
      <w:pgSz w:w="12240" w:h="15840" w:code="1"/>
      <w:pgMar w:top="1134" w:right="720" w:bottom="144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D3B4E" w14:textId="77777777" w:rsidR="00200DF8" w:rsidRDefault="00200DF8">
      <w:r>
        <w:separator/>
      </w:r>
    </w:p>
  </w:endnote>
  <w:endnote w:type="continuationSeparator" w:id="0">
    <w:p w14:paraId="62C32B3E" w14:textId="77777777" w:rsidR="00200DF8" w:rsidRDefault="00200DF8">
      <w:r>
        <w:continuationSeparator/>
      </w:r>
    </w:p>
  </w:endnote>
  <w:endnote w:type="continuationNotice" w:id="1">
    <w:p w14:paraId="744E2360" w14:textId="77777777" w:rsidR="00200DF8" w:rsidRDefault="00200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1C40" w14:textId="717641FA" w:rsidR="00E054FE" w:rsidRPr="006402E3" w:rsidRDefault="00E054FE" w:rsidP="006402E3">
    <w:pPr>
      <w:pStyle w:val="Footer"/>
      <w:pBdr>
        <w:top w:val="thinThickLargeGap" w:sz="24" w:space="1" w:color="auto"/>
      </w:pBdr>
      <w:tabs>
        <w:tab w:val="clear" w:pos="4320"/>
        <w:tab w:val="clear" w:pos="8640"/>
        <w:tab w:val="right" w:pos="10800"/>
      </w:tabs>
      <w:rPr>
        <w:rStyle w:val="PageNumber"/>
        <w:rFonts w:ascii="Arial" w:hAnsi="Arial" w:cs="Arial"/>
        <w:sz w:val="20"/>
        <w:szCs w:val="20"/>
      </w:rPr>
    </w:pPr>
    <w:r>
      <w:rPr>
        <w:rFonts w:ascii="Arial" w:hAnsi="Arial"/>
        <w:sz w:val="20"/>
      </w:rPr>
      <w:t>Fiche d’information de la CRÉF</w:t>
    </w:r>
    <w:r>
      <w:rPr>
        <w:rFonts w:ascii="Arial" w:hAnsi="Arial"/>
        <w:sz w:val="20"/>
      </w:rPr>
      <w:tab/>
    </w:r>
    <w:r>
      <w:rPr>
        <w:rStyle w:val="PageNumber"/>
        <w:rFonts w:ascii="Arial" w:hAnsi="Arial"/>
        <w:sz w:val="20"/>
      </w:rPr>
      <w:t xml:space="preserve">Page </w:t>
    </w:r>
    <w:r w:rsidRPr="006402E3">
      <w:rPr>
        <w:rStyle w:val="PageNumber"/>
        <w:rFonts w:ascii="Arial" w:hAnsi="Arial" w:cs="Arial"/>
        <w:sz w:val="20"/>
      </w:rPr>
      <w:fldChar w:fldCharType="begin"/>
    </w:r>
    <w:r w:rsidRPr="006402E3">
      <w:rPr>
        <w:rStyle w:val="PageNumber"/>
        <w:rFonts w:ascii="Arial" w:hAnsi="Arial" w:cs="Arial"/>
        <w:sz w:val="20"/>
      </w:rPr>
      <w:instrText xml:space="preserve"> PAGE </w:instrText>
    </w:r>
    <w:r w:rsidRPr="006402E3">
      <w:rPr>
        <w:rStyle w:val="PageNumber"/>
        <w:rFonts w:ascii="Arial" w:hAnsi="Arial" w:cs="Arial"/>
        <w:sz w:val="20"/>
      </w:rPr>
      <w:fldChar w:fldCharType="separate"/>
    </w:r>
    <w:r w:rsidR="0004170A">
      <w:rPr>
        <w:rStyle w:val="PageNumber"/>
        <w:rFonts w:ascii="Arial" w:hAnsi="Arial" w:cs="Arial"/>
        <w:sz w:val="20"/>
      </w:rPr>
      <w:t>1</w:t>
    </w:r>
    <w:r w:rsidRPr="006402E3">
      <w:rPr>
        <w:rStyle w:val="PageNumber"/>
        <w:rFonts w:ascii="Arial" w:hAnsi="Arial" w:cs="Arial"/>
        <w:sz w:val="20"/>
      </w:rPr>
      <w:fldChar w:fldCharType="end"/>
    </w:r>
    <w:r>
      <w:rPr>
        <w:rStyle w:val="PageNumber"/>
        <w:rFonts w:ascii="Arial" w:hAnsi="Arial"/>
        <w:sz w:val="20"/>
      </w:rPr>
      <w:t xml:space="preserve"> de </w:t>
    </w:r>
    <w:r w:rsidRPr="006402E3">
      <w:rPr>
        <w:rStyle w:val="PageNumber"/>
        <w:rFonts w:ascii="Arial" w:hAnsi="Arial" w:cs="Arial"/>
        <w:sz w:val="20"/>
      </w:rPr>
      <w:fldChar w:fldCharType="begin"/>
    </w:r>
    <w:r w:rsidRPr="006402E3">
      <w:rPr>
        <w:rStyle w:val="PageNumber"/>
        <w:rFonts w:ascii="Arial" w:hAnsi="Arial" w:cs="Arial"/>
        <w:sz w:val="20"/>
      </w:rPr>
      <w:instrText xml:space="preserve"> NUMPAGES </w:instrText>
    </w:r>
    <w:r w:rsidRPr="006402E3">
      <w:rPr>
        <w:rStyle w:val="PageNumber"/>
        <w:rFonts w:ascii="Arial" w:hAnsi="Arial" w:cs="Arial"/>
        <w:sz w:val="20"/>
      </w:rPr>
      <w:fldChar w:fldCharType="separate"/>
    </w:r>
    <w:r w:rsidR="0004170A">
      <w:rPr>
        <w:rStyle w:val="PageNumber"/>
        <w:rFonts w:ascii="Arial" w:hAnsi="Arial" w:cs="Arial"/>
        <w:sz w:val="20"/>
      </w:rPr>
      <w:t>2</w:t>
    </w:r>
    <w:r w:rsidRPr="006402E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9B032" w14:textId="77777777" w:rsidR="00200DF8" w:rsidRDefault="00200DF8">
      <w:r>
        <w:separator/>
      </w:r>
    </w:p>
  </w:footnote>
  <w:footnote w:type="continuationSeparator" w:id="0">
    <w:p w14:paraId="514E02E5" w14:textId="77777777" w:rsidR="00200DF8" w:rsidRDefault="00200DF8">
      <w:r>
        <w:continuationSeparator/>
      </w:r>
    </w:p>
  </w:footnote>
  <w:footnote w:type="continuationNotice" w:id="1">
    <w:p w14:paraId="6A5172CA" w14:textId="77777777" w:rsidR="00200DF8" w:rsidRDefault="00200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DA0"/>
    <w:multiLevelType w:val="hybridMultilevel"/>
    <w:tmpl w:val="FEDA795A"/>
    <w:lvl w:ilvl="0" w:tplc="230A87E0">
      <w:start w:val="1"/>
      <w:numFmt w:val="bullet"/>
      <w:lvlText w:val=""/>
      <w:lvlJc w:val="left"/>
      <w:pPr>
        <w:tabs>
          <w:tab w:val="num" w:pos="1764"/>
        </w:tabs>
        <w:ind w:left="1764" w:hanging="432"/>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12F16131"/>
    <w:multiLevelType w:val="hybridMultilevel"/>
    <w:tmpl w:val="E3FE3978"/>
    <w:lvl w:ilvl="0" w:tplc="1009000F">
      <w:start w:val="1"/>
      <w:numFmt w:val="decimal"/>
      <w:lvlText w:val="%1."/>
      <w:lvlJc w:val="left"/>
      <w:pPr>
        <w:tabs>
          <w:tab w:val="num" w:pos="780"/>
        </w:tabs>
        <w:ind w:left="780" w:hanging="360"/>
      </w:pPr>
    </w:lvl>
    <w:lvl w:ilvl="1" w:tplc="10090019" w:tentative="1">
      <w:start w:val="1"/>
      <w:numFmt w:val="lowerLetter"/>
      <w:lvlText w:val="%2."/>
      <w:lvlJc w:val="left"/>
      <w:pPr>
        <w:tabs>
          <w:tab w:val="num" w:pos="1500"/>
        </w:tabs>
        <w:ind w:left="1500" w:hanging="360"/>
      </w:p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2" w15:restartNumberingAfterBreak="0">
    <w:nsid w:val="16950D23"/>
    <w:multiLevelType w:val="hybridMultilevel"/>
    <w:tmpl w:val="3B4A0922"/>
    <w:lvl w:ilvl="0" w:tplc="D5129136">
      <w:start w:val="1"/>
      <w:numFmt w:val="bullet"/>
      <w:lvlText w:val="•"/>
      <w:lvlJc w:val="left"/>
      <w:pPr>
        <w:tabs>
          <w:tab w:val="num" w:pos="720"/>
        </w:tabs>
        <w:ind w:left="720" w:hanging="360"/>
      </w:pPr>
      <w:rPr>
        <w:rFonts w:ascii="Arial" w:hAnsi="Arial" w:hint="default"/>
      </w:rPr>
    </w:lvl>
    <w:lvl w:ilvl="1" w:tplc="46E8A634">
      <w:start w:val="1"/>
      <w:numFmt w:val="bullet"/>
      <w:lvlText w:val="•"/>
      <w:lvlJc w:val="left"/>
      <w:pPr>
        <w:tabs>
          <w:tab w:val="num" w:pos="1440"/>
        </w:tabs>
        <w:ind w:left="1440" w:hanging="360"/>
      </w:pPr>
      <w:rPr>
        <w:rFonts w:ascii="Arial" w:hAnsi="Arial" w:hint="default"/>
      </w:rPr>
    </w:lvl>
    <w:lvl w:ilvl="2" w:tplc="83FCE68C" w:tentative="1">
      <w:start w:val="1"/>
      <w:numFmt w:val="bullet"/>
      <w:lvlText w:val="•"/>
      <w:lvlJc w:val="left"/>
      <w:pPr>
        <w:tabs>
          <w:tab w:val="num" w:pos="2160"/>
        </w:tabs>
        <w:ind w:left="2160" w:hanging="360"/>
      </w:pPr>
      <w:rPr>
        <w:rFonts w:ascii="Arial" w:hAnsi="Arial" w:hint="default"/>
      </w:rPr>
    </w:lvl>
    <w:lvl w:ilvl="3" w:tplc="28C6769C" w:tentative="1">
      <w:start w:val="1"/>
      <w:numFmt w:val="bullet"/>
      <w:lvlText w:val="•"/>
      <w:lvlJc w:val="left"/>
      <w:pPr>
        <w:tabs>
          <w:tab w:val="num" w:pos="2880"/>
        </w:tabs>
        <w:ind w:left="2880" w:hanging="360"/>
      </w:pPr>
      <w:rPr>
        <w:rFonts w:ascii="Arial" w:hAnsi="Arial" w:hint="default"/>
      </w:rPr>
    </w:lvl>
    <w:lvl w:ilvl="4" w:tplc="DA5CA2AE" w:tentative="1">
      <w:start w:val="1"/>
      <w:numFmt w:val="bullet"/>
      <w:lvlText w:val="•"/>
      <w:lvlJc w:val="left"/>
      <w:pPr>
        <w:tabs>
          <w:tab w:val="num" w:pos="3600"/>
        </w:tabs>
        <w:ind w:left="3600" w:hanging="360"/>
      </w:pPr>
      <w:rPr>
        <w:rFonts w:ascii="Arial" w:hAnsi="Arial" w:hint="default"/>
      </w:rPr>
    </w:lvl>
    <w:lvl w:ilvl="5" w:tplc="9C26F9D4" w:tentative="1">
      <w:start w:val="1"/>
      <w:numFmt w:val="bullet"/>
      <w:lvlText w:val="•"/>
      <w:lvlJc w:val="left"/>
      <w:pPr>
        <w:tabs>
          <w:tab w:val="num" w:pos="4320"/>
        </w:tabs>
        <w:ind w:left="4320" w:hanging="360"/>
      </w:pPr>
      <w:rPr>
        <w:rFonts w:ascii="Arial" w:hAnsi="Arial" w:hint="default"/>
      </w:rPr>
    </w:lvl>
    <w:lvl w:ilvl="6" w:tplc="EAE4CDA4" w:tentative="1">
      <w:start w:val="1"/>
      <w:numFmt w:val="bullet"/>
      <w:lvlText w:val="•"/>
      <w:lvlJc w:val="left"/>
      <w:pPr>
        <w:tabs>
          <w:tab w:val="num" w:pos="5040"/>
        </w:tabs>
        <w:ind w:left="5040" w:hanging="360"/>
      </w:pPr>
      <w:rPr>
        <w:rFonts w:ascii="Arial" w:hAnsi="Arial" w:hint="default"/>
      </w:rPr>
    </w:lvl>
    <w:lvl w:ilvl="7" w:tplc="9E72E596" w:tentative="1">
      <w:start w:val="1"/>
      <w:numFmt w:val="bullet"/>
      <w:lvlText w:val="•"/>
      <w:lvlJc w:val="left"/>
      <w:pPr>
        <w:tabs>
          <w:tab w:val="num" w:pos="5760"/>
        </w:tabs>
        <w:ind w:left="5760" w:hanging="360"/>
      </w:pPr>
      <w:rPr>
        <w:rFonts w:ascii="Arial" w:hAnsi="Arial" w:hint="default"/>
      </w:rPr>
    </w:lvl>
    <w:lvl w:ilvl="8" w:tplc="26AC11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C5622B"/>
    <w:multiLevelType w:val="hybridMultilevel"/>
    <w:tmpl w:val="0DA03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E50EC5"/>
    <w:multiLevelType w:val="hybridMultilevel"/>
    <w:tmpl w:val="8E1C2D2A"/>
    <w:lvl w:ilvl="0" w:tplc="10090001">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247B370D"/>
    <w:multiLevelType w:val="hybridMultilevel"/>
    <w:tmpl w:val="618215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EC0395B"/>
    <w:multiLevelType w:val="multilevel"/>
    <w:tmpl w:val="51CA1A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4C91256"/>
    <w:multiLevelType w:val="hybridMultilevel"/>
    <w:tmpl w:val="AB067A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E462272"/>
    <w:multiLevelType w:val="hybridMultilevel"/>
    <w:tmpl w:val="47B426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3676069"/>
    <w:multiLevelType w:val="hybridMultilevel"/>
    <w:tmpl w:val="D09EB60A"/>
    <w:lvl w:ilvl="0" w:tplc="4AC867A6">
      <w:start w:val="1"/>
      <w:numFmt w:val="bullet"/>
      <w:lvlText w:val="•"/>
      <w:lvlJc w:val="left"/>
      <w:pPr>
        <w:tabs>
          <w:tab w:val="num" w:pos="720"/>
        </w:tabs>
        <w:ind w:left="720" w:hanging="360"/>
      </w:pPr>
      <w:rPr>
        <w:rFonts w:ascii="Arial" w:hAnsi="Arial" w:hint="default"/>
      </w:rPr>
    </w:lvl>
    <w:lvl w:ilvl="1" w:tplc="D338B4B4" w:tentative="1">
      <w:start w:val="1"/>
      <w:numFmt w:val="bullet"/>
      <w:lvlText w:val="•"/>
      <w:lvlJc w:val="left"/>
      <w:pPr>
        <w:tabs>
          <w:tab w:val="num" w:pos="1440"/>
        </w:tabs>
        <w:ind w:left="1440" w:hanging="360"/>
      </w:pPr>
      <w:rPr>
        <w:rFonts w:ascii="Arial" w:hAnsi="Arial" w:hint="default"/>
      </w:rPr>
    </w:lvl>
    <w:lvl w:ilvl="2" w:tplc="F5127466" w:tentative="1">
      <w:start w:val="1"/>
      <w:numFmt w:val="bullet"/>
      <w:lvlText w:val="•"/>
      <w:lvlJc w:val="left"/>
      <w:pPr>
        <w:tabs>
          <w:tab w:val="num" w:pos="2160"/>
        </w:tabs>
        <w:ind w:left="2160" w:hanging="360"/>
      </w:pPr>
      <w:rPr>
        <w:rFonts w:ascii="Arial" w:hAnsi="Arial" w:hint="default"/>
      </w:rPr>
    </w:lvl>
    <w:lvl w:ilvl="3" w:tplc="113C8608" w:tentative="1">
      <w:start w:val="1"/>
      <w:numFmt w:val="bullet"/>
      <w:lvlText w:val="•"/>
      <w:lvlJc w:val="left"/>
      <w:pPr>
        <w:tabs>
          <w:tab w:val="num" w:pos="2880"/>
        </w:tabs>
        <w:ind w:left="2880" w:hanging="360"/>
      </w:pPr>
      <w:rPr>
        <w:rFonts w:ascii="Arial" w:hAnsi="Arial" w:hint="default"/>
      </w:rPr>
    </w:lvl>
    <w:lvl w:ilvl="4" w:tplc="50D09A74" w:tentative="1">
      <w:start w:val="1"/>
      <w:numFmt w:val="bullet"/>
      <w:lvlText w:val="•"/>
      <w:lvlJc w:val="left"/>
      <w:pPr>
        <w:tabs>
          <w:tab w:val="num" w:pos="3600"/>
        </w:tabs>
        <w:ind w:left="3600" w:hanging="360"/>
      </w:pPr>
      <w:rPr>
        <w:rFonts w:ascii="Arial" w:hAnsi="Arial" w:hint="default"/>
      </w:rPr>
    </w:lvl>
    <w:lvl w:ilvl="5" w:tplc="DB3E5BE4" w:tentative="1">
      <w:start w:val="1"/>
      <w:numFmt w:val="bullet"/>
      <w:lvlText w:val="•"/>
      <w:lvlJc w:val="left"/>
      <w:pPr>
        <w:tabs>
          <w:tab w:val="num" w:pos="4320"/>
        </w:tabs>
        <w:ind w:left="4320" w:hanging="360"/>
      </w:pPr>
      <w:rPr>
        <w:rFonts w:ascii="Arial" w:hAnsi="Arial" w:hint="default"/>
      </w:rPr>
    </w:lvl>
    <w:lvl w:ilvl="6" w:tplc="986A967A" w:tentative="1">
      <w:start w:val="1"/>
      <w:numFmt w:val="bullet"/>
      <w:lvlText w:val="•"/>
      <w:lvlJc w:val="left"/>
      <w:pPr>
        <w:tabs>
          <w:tab w:val="num" w:pos="5040"/>
        </w:tabs>
        <w:ind w:left="5040" w:hanging="360"/>
      </w:pPr>
      <w:rPr>
        <w:rFonts w:ascii="Arial" w:hAnsi="Arial" w:hint="default"/>
      </w:rPr>
    </w:lvl>
    <w:lvl w:ilvl="7" w:tplc="6A629C7C" w:tentative="1">
      <w:start w:val="1"/>
      <w:numFmt w:val="bullet"/>
      <w:lvlText w:val="•"/>
      <w:lvlJc w:val="left"/>
      <w:pPr>
        <w:tabs>
          <w:tab w:val="num" w:pos="5760"/>
        </w:tabs>
        <w:ind w:left="5760" w:hanging="360"/>
      </w:pPr>
      <w:rPr>
        <w:rFonts w:ascii="Arial" w:hAnsi="Arial" w:hint="default"/>
      </w:rPr>
    </w:lvl>
    <w:lvl w:ilvl="8" w:tplc="DA36EDC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67C1609"/>
    <w:multiLevelType w:val="hybridMultilevel"/>
    <w:tmpl w:val="003A2D7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5D8C0DBC"/>
    <w:multiLevelType w:val="hybridMultilevel"/>
    <w:tmpl w:val="51CA1AF2"/>
    <w:lvl w:ilvl="0" w:tplc="10090017">
      <w:start w:val="1"/>
      <w:numFmt w:val="lowerLetter"/>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5D8D367B"/>
    <w:multiLevelType w:val="hybridMultilevel"/>
    <w:tmpl w:val="91CCE8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0AD1B90"/>
    <w:multiLevelType w:val="hybridMultilevel"/>
    <w:tmpl w:val="1828F4D0"/>
    <w:lvl w:ilvl="0" w:tplc="88C803C8">
      <w:start w:val="1"/>
      <w:numFmt w:val="bullet"/>
      <w:lvlText w:val="•"/>
      <w:lvlJc w:val="left"/>
      <w:pPr>
        <w:tabs>
          <w:tab w:val="num" w:pos="720"/>
        </w:tabs>
        <w:ind w:left="720" w:hanging="360"/>
      </w:pPr>
      <w:rPr>
        <w:rFonts w:ascii="Arial" w:hAnsi="Arial" w:hint="default"/>
      </w:rPr>
    </w:lvl>
    <w:lvl w:ilvl="1" w:tplc="81AE9966">
      <w:start w:val="1"/>
      <w:numFmt w:val="bullet"/>
      <w:lvlText w:val="•"/>
      <w:lvlJc w:val="left"/>
      <w:pPr>
        <w:tabs>
          <w:tab w:val="num" w:pos="1440"/>
        </w:tabs>
        <w:ind w:left="1440" w:hanging="360"/>
      </w:pPr>
      <w:rPr>
        <w:rFonts w:ascii="Arial" w:hAnsi="Arial" w:hint="default"/>
      </w:rPr>
    </w:lvl>
    <w:lvl w:ilvl="2" w:tplc="4ED49D82" w:tentative="1">
      <w:start w:val="1"/>
      <w:numFmt w:val="bullet"/>
      <w:lvlText w:val="•"/>
      <w:lvlJc w:val="left"/>
      <w:pPr>
        <w:tabs>
          <w:tab w:val="num" w:pos="2160"/>
        </w:tabs>
        <w:ind w:left="2160" w:hanging="360"/>
      </w:pPr>
      <w:rPr>
        <w:rFonts w:ascii="Arial" w:hAnsi="Arial" w:hint="default"/>
      </w:rPr>
    </w:lvl>
    <w:lvl w:ilvl="3" w:tplc="140C8E5E" w:tentative="1">
      <w:start w:val="1"/>
      <w:numFmt w:val="bullet"/>
      <w:lvlText w:val="•"/>
      <w:lvlJc w:val="left"/>
      <w:pPr>
        <w:tabs>
          <w:tab w:val="num" w:pos="2880"/>
        </w:tabs>
        <w:ind w:left="2880" w:hanging="360"/>
      </w:pPr>
      <w:rPr>
        <w:rFonts w:ascii="Arial" w:hAnsi="Arial" w:hint="default"/>
      </w:rPr>
    </w:lvl>
    <w:lvl w:ilvl="4" w:tplc="28721490" w:tentative="1">
      <w:start w:val="1"/>
      <w:numFmt w:val="bullet"/>
      <w:lvlText w:val="•"/>
      <w:lvlJc w:val="left"/>
      <w:pPr>
        <w:tabs>
          <w:tab w:val="num" w:pos="3600"/>
        </w:tabs>
        <w:ind w:left="3600" w:hanging="360"/>
      </w:pPr>
      <w:rPr>
        <w:rFonts w:ascii="Arial" w:hAnsi="Arial" w:hint="default"/>
      </w:rPr>
    </w:lvl>
    <w:lvl w:ilvl="5" w:tplc="14AEB096" w:tentative="1">
      <w:start w:val="1"/>
      <w:numFmt w:val="bullet"/>
      <w:lvlText w:val="•"/>
      <w:lvlJc w:val="left"/>
      <w:pPr>
        <w:tabs>
          <w:tab w:val="num" w:pos="4320"/>
        </w:tabs>
        <w:ind w:left="4320" w:hanging="360"/>
      </w:pPr>
      <w:rPr>
        <w:rFonts w:ascii="Arial" w:hAnsi="Arial" w:hint="default"/>
      </w:rPr>
    </w:lvl>
    <w:lvl w:ilvl="6" w:tplc="05F03EAA" w:tentative="1">
      <w:start w:val="1"/>
      <w:numFmt w:val="bullet"/>
      <w:lvlText w:val="•"/>
      <w:lvlJc w:val="left"/>
      <w:pPr>
        <w:tabs>
          <w:tab w:val="num" w:pos="5040"/>
        </w:tabs>
        <w:ind w:left="5040" w:hanging="360"/>
      </w:pPr>
      <w:rPr>
        <w:rFonts w:ascii="Arial" w:hAnsi="Arial" w:hint="default"/>
      </w:rPr>
    </w:lvl>
    <w:lvl w:ilvl="7" w:tplc="86ACE1B4" w:tentative="1">
      <w:start w:val="1"/>
      <w:numFmt w:val="bullet"/>
      <w:lvlText w:val="•"/>
      <w:lvlJc w:val="left"/>
      <w:pPr>
        <w:tabs>
          <w:tab w:val="num" w:pos="5760"/>
        </w:tabs>
        <w:ind w:left="5760" w:hanging="360"/>
      </w:pPr>
      <w:rPr>
        <w:rFonts w:ascii="Arial" w:hAnsi="Arial" w:hint="default"/>
      </w:rPr>
    </w:lvl>
    <w:lvl w:ilvl="8" w:tplc="3A88CCD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3595E96"/>
    <w:multiLevelType w:val="hybridMultilevel"/>
    <w:tmpl w:val="B1E64BA8"/>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5" w15:restartNumberingAfterBreak="0">
    <w:nsid w:val="76BE2DF0"/>
    <w:multiLevelType w:val="hybridMultilevel"/>
    <w:tmpl w:val="189E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662772">
    <w:abstractNumId w:val="1"/>
  </w:num>
  <w:num w:numId="2" w16cid:durableId="628435342">
    <w:abstractNumId w:val="3"/>
  </w:num>
  <w:num w:numId="3" w16cid:durableId="1135486410">
    <w:abstractNumId w:val="0"/>
  </w:num>
  <w:num w:numId="4" w16cid:durableId="1884948384">
    <w:abstractNumId w:val="11"/>
  </w:num>
  <w:num w:numId="5" w16cid:durableId="250312664">
    <w:abstractNumId w:val="6"/>
  </w:num>
  <w:num w:numId="6" w16cid:durableId="1068845745">
    <w:abstractNumId w:val="4"/>
  </w:num>
  <w:num w:numId="7" w16cid:durableId="565073065">
    <w:abstractNumId w:val="5"/>
  </w:num>
  <w:num w:numId="8" w16cid:durableId="1265500630">
    <w:abstractNumId w:val="7"/>
  </w:num>
  <w:num w:numId="9" w16cid:durableId="642347349">
    <w:abstractNumId w:val="14"/>
  </w:num>
  <w:num w:numId="10" w16cid:durableId="1098873213">
    <w:abstractNumId w:val="9"/>
  </w:num>
  <w:num w:numId="11" w16cid:durableId="1811903030">
    <w:abstractNumId w:val="10"/>
  </w:num>
  <w:num w:numId="12" w16cid:durableId="37749875">
    <w:abstractNumId w:val="8"/>
  </w:num>
  <w:num w:numId="13" w16cid:durableId="285282900">
    <w:abstractNumId w:val="12"/>
  </w:num>
  <w:num w:numId="14" w16cid:durableId="1323655551">
    <w:abstractNumId w:val="13"/>
  </w:num>
  <w:num w:numId="15" w16cid:durableId="142891244">
    <w:abstractNumId w:val="2"/>
  </w:num>
  <w:num w:numId="16" w16cid:durableId="6538711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99a69c,#dee1d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31"/>
    <w:rsid w:val="00022BF3"/>
    <w:rsid w:val="00030649"/>
    <w:rsid w:val="00030AB2"/>
    <w:rsid w:val="000310EA"/>
    <w:rsid w:val="00032711"/>
    <w:rsid w:val="00035E17"/>
    <w:rsid w:val="0004170A"/>
    <w:rsid w:val="00050574"/>
    <w:rsid w:val="000577F8"/>
    <w:rsid w:val="000B4B83"/>
    <w:rsid w:val="000B76EA"/>
    <w:rsid w:val="000C1A9C"/>
    <w:rsid w:val="000D1CA7"/>
    <w:rsid w:val="000D4DE8"/>
    <w:rsid w:val="000F27F4"/>
    <w:rsid w:val="0010050E"/>
    <w:rsid w:val="00102F94"/>
    <w:rsid w:val="001073DB"/>
    <w:rsid w:val="0011448D"/>
    <w:rsid w:val="00115BFA"/>
    <w:rsid w:val="001172F9"/>
    <w:rsid w:val="001227A9"/>
    <w:rsid w:val="001361A9"/>
    <w:rsid w:val="001511FD"/>
    <w:rsid w:val="00160A05"/>
    <w:rsid w:val="00186BD5"/>
    <w:rsid w:val="00192931"/>
    <w:rsid w:val="0019539A"/>
    <w:rsid w:val="001B45D0"/>
    <w:rsid w:val="001C4C75"/>
    <w:rsid w:val="001D58D3"/>
    <w:rsid w:val="001E045A"/>
    <w:rsid w:val="001F28A0"/>
    <w:rsid w:val="00200DF8"/>
    <w:rsid w:val="002064D7"/>
    <w:rsid w:val="0021129A"/>
    <w:rsid w:val="00222EFC"/>
    <w:rsid w:val="0022678D"/>
    <w:rsid w:val="00234D86"/>
    <w:rsid w:val="00236602"/>
    <w:rsid w:val="0023698A"/>
    <w:rsid w:val="00244450"/>
    <w:rsid w:val="0024498A"/>
    <w:rsid w:val="002510ED"/>
    <w:rsid w:val="0025130B"/>
    <w:rsid w:val="00261A98"/>
    <w:rsid w:val="00284D55"/>
    <w:rsid w:val="00287157"/>
    <w:rsid w:val="00287209"/>
    <w:rsid w:val="00290C85"/>
    <w:rsid w:val="002A138D"/>
    <w:rsid w:val="002A5054"/>
    <w:rsid w:val="002C1866"/>
    <w:rsid w:val="002E1B1D"/>
    <w:rsid w:val="002E381E"/>
    <w:rsid w:val="002E4F16"/>
    <w:rsid w:val="002F2D1C"/>
    <w:rsid w:val="002F66DF"/>
    <w:rsid w:val="002F78C3"/>
    <w:rsid w:val="00320F4B"/>
    <w:rsid w:val="00325766"/>
    <w:rsid w:val="003273A6"/>
    <w:rsid w:val="00357D27"/>
    <w:rsid w:val="00364A37"/>
    <w:rsid w:val="003922DA"/>
    <w:rsid w:val="00392836"/>
    <w:rsid w:val="00394DB0"/>
    <w:rsid w:val="00396D4F"/>
    <w:rsid w:val="003A0077"/>
    <w:rsid w:val="003B24CC"/>
    <w:rsid w:val="003C19D0"/>
    <w:rsid w:val="003D727C"/>
    <w:rsid w:val="003E373B"/>
    <w:rsid w:val="003F0874"/>
    <w:rsid w:val="003F66E5"/>
    <w:rsid w:val="00400908"/>
    <w:rsid w:val="00423442"/>
    <w:rsid w:val="00426CC6"/>
    <w:rsid w:val="004321B0"/>
    <w:rsid w:val="00432DC1"/>
    <w:rsid w:val="0043665D"/>
    <w:rsid w:val="00440571"/>
    <w:rsid w:val="00451E2D"/>
    <w:rsid w:val="00452CCD"/>
    <w:rsid w:val="004573BE"/>
    <w:rsid w:val="00460BCE"/>
    <w:rsid w:val="00467D4E"/>
    <w:rsid w:val="004820BC"/>
    <w:rsid w:val="004838C7"/>
    <w:rsid w:val="00485332"/>
    <w:rsid w:val="004856BC"/>
    <w:rsid w:val="004B08D5"/>
    <w:rsid w:val="004B5FB5"/>
    <w:rsid w:val="004C2BF6"/>
    <w:rsid w:val="004C5719"/>
    <w:rsid w:val="004D1E83"/>
    <w:rsid w:val="004D41F0"/>
    <w:rsid w:val="004E4786"/>
    <w:rsid w:val="004F5B01"/>
    <w:rsid w:val="004F7F6D"/>
    <w:rsid w:val="00503844"/>
    <w:rsid w:val="0050433E"/>
    <w:rsid w:val="005068EA"/>
    <w:rsid w:val="00507DC4"/>
    <w:rsid w:val="00510EF8"/>
    <w:rsid w:val="0051618E"/>
    <w:rsid w:val="00517E4D"/>
    <w:rsid w:val="00521A4A"/>
    <w:rsid w:val="00532830"/>
    <w:rsid w:val="0053528B"/>
    <w:rsid w:val="005375A1"/>
    <w:rsid w:val="00553CCB"/>
    <w:rsid w:val="0056081D"/>
    <w:rsid w:val="00572494"/>
    <w:rsid w:val="0058436E"/>
    <w:rsid w:val="0058439D"/>
    <w:rsid w:val="005929AB"/>
    <w:rsid w:val="00595604"/>
    <w:rsid w:val="00597B29"/>
    <w:rsid w:val="005A22E5"/>
    <w:rsid w:val="005A2AAE"/>
    <w:rsid w:val="005A5EA0"/>
    <w:rsid w:val="005C3D97"/>
    <w:rsid w:val="005D1A06"/>
    <w:rsid w:val="005D1FEF"/>
    <w:rsid w:val="005E0D78"/>
    <w:rsid w:val="005E3A56"/>
    <w:rsid w:val="005F1C9E"/>
    <w:rsid w:val="0061238E"/>
    <w:rsid w:val="006402E3"/>
    <w:rsid w:val="006648D7"/>
    <w:rsid w:val="0066541A"/>
    <w:rsid w:val="00667788"/>
    <w:rsid w:val="00670966"/>
    <w:rsid w:val="00684DD9"/>
    <w:rsid w:val="006B389D"/>
    <w:rsid w:val="006B4AC1"/>
    <w:rsid w:val="006B56E4"/>
    <w:rsid w:val="006B5A31"/>
    <w:rsid w:val="006C42C4"/>
    <w:rsid w:val="006C58AE"/>
    <w:rsid w:val="006D6A4A"/>
    <w:rsid w:val="006E0490"/>
    <w:rsid w:val="006F40A6"/>
    <w:rsid w:val="00703C27"/>
    <w:rsid w:val="00713BF4"/>
    <w:rsid w:val="0071773E"/>
    <w:rsid w:val="00724430"/>
    <w:rsid w:val="00743AA4"/>
    <w:rsid w:val="0075043B"/>
    <w:rsid w:val="0075281A"/>
    <w:rsid w:val="00765DB2"/>
    <w:rsid w:val="00771B7A"/>
    <w:rsid w:val="00796D35"/>
    <w:rsid w:val="007977F0"/>
    <w:rsid w:val="007A69CF"/>
    <w:rsid w:val="007A76E5"/>
    <w:rsid w:val="007B6F95"/>
    <w:rsid w:val="007C320A"/>
    <w:rsid w:val="007D5ED3"/>
    <w:rsid w:val="007E022A"/>
    <w:rsid w:val="007E1DFB"/>
    <w:rsid w:val="007E2F0D"/>
    <w:rsid w:val="0080307C"/>
    <w:rsid w:val="008037F7"/>
    <w:rsid w:val="0085704A"/>
    <w:rsid w:val="0085733A"/>
    <w:rsid w:val="0086266E"/>
    <w:rsid w:val="00865AFE"/>
    <w:rsid w:val="00880233"/>
    <w:rsid w:val="0089227C"/>
    <w:rsid w:val="00894B5D"/>
    <w:rsid w:val="008A7046"/>
    <w:rsid w:val="008B12D3"/>
    <w:rsid w:val="008C16D0"/>
    <w:rsid w:val="008E7FB7"/>
    <w:rsid w:val="008F3F39"/>
    <w:rsid w:val="00901DD2"/>
    <w:rsid w:val="00910C4F"/>
    <w:rsid w:val="00924B7C"/>
    <w:rsid w:val="009261CD"/>
    <w:rsid w:val="009322DD"/>
    <w:rsid w:val="00952E74"/>
    <w:rsid w:val="00961C66"/>
    <w:rsid w:val="00983F20"/>
    <w:rsid w:val="009873B2"/>
    <w:rsid w:val="009A3473"/>
    <w:rsid w:val="009B3A7A"/>
    <w:rsid w:val="009B6110"/>
    <w:rsid w:val="009C0C51"/>
    <w:rsid w:val="009D35DF"/>
    <w:rsid w:val="009D588E"/>
    <w:rsid w:val="009D5966"/>
    <w:rsid w:val="00A04D2D"/>
    <w:rsid w:val="00A15631"/>
    <w:rsid w:val="00A31EB7"/>
    <w:rsid w:val="00A411DB"/>
    <w:rsid w:val="00A650B5"/>
    <w:rsid w:val="00A65723"/>
    <w:rsid w:val="00A71B92"/>
    <w:rsid w:val="00A979FA"/>
    <w:rsid w:val="00AA3796"/>
    <w:rsid w:val="00AB01A5"/>
    <w:rsid w:val="00AB0B26"/>
    <w:rsid w:val="00AD20EF"/>
    <w:rsid w:val="00AF0BD5"/>
    <w:rsid w:val="00B0119F"/>
    <w:rsid w:val="00B25E99"/>
    <w:rsid w:val="00B34B11"/>
    <w:rsid w:val="00B54F75"/>
    <w:rsid w:val="00B76EE2"/>
    <w:rsid w:val="00B92CC8"/>
    <w:rsid w:val="00BA509D"/>
    <w:rsid w:val="00BB206B"/>
    <w:rsid w:val="00BC26A2"/>
    <w:rsid w:val="00BC5599"/>
    <w:rsid w:val="00BC680D"/>
    <w:rsid w:val="00BD4B51"/>
    <w:rsid w:val="00BE61E2"/>
    <w:rsid w:val="00BE7CD2"/>
    <w:rsid w:val="00C24069"/>
    <w:rsid w:val="00C33815"/>
    <w:rsid w:val="00C340C4"/>
    <w:rsid w:val="00C358C2"/>
    <w:rsid w:val="00C5072A"/>
    <w:rsid w:val="00C50A84"/>
    <w:rsid w:val="00C54606"/>
    <w:rsid w:val="00C5631C"/>
    <w:rsid w:val="00C70E06"/>
    <w:rsid w:val="00C76227"/>
    <w:rsid w:val="00C77BFE"/>
    <w:rsid w:val="00CB49EA"/>
    <w:rsid w:val="00CB5AED"/>
    <w:rsid w:val="00CB5F68"/>
    <w:rsid w:val="00CB6565"/>
    <w:rsid w:val="00CC5C00"/>
    <w:rsid w:val="00CF300A"/>
    <w:rsid w:val="00CF7201"/>
    <w:rsid w:val="00D10586"/>
    <w:rsid w:val="00D518F2"/>
    <w:rsid w:val="00D6148D"/>
    <w:rsid w:val="00D63676"/>
    <w:rsid w:val="00D65934"/>
    <w:rsid w:val="00D700C2"/>
    <w:rsid w:val="00D70D3E"/>
    <w:rsid w:val="00D71C4E"/>
    <w:rsid w:val="00D80913"/>
    <w:rsid w:val="00D81076"/>
    <w:rsid w:val="00D837E9"/>
    <w:rsid w:val="00D87E32"/>
    <w:rsid w:val="00D91832"/>
    <w:rsid w:val="00DB6C03"/>
    <w:rsid w:val="00DD6EB3"/>
    <w:rsid w:val="00DE01E9"/>
    <w:rsid w:val="00DE3A42"/>
    <w:rsid w:val="00DE43A4"/>
    <w:rsid w:val="00DE7485"/>
    <w:rsid w:val="00DF5101"/>
    <w:rsid w:val="00E015A7"/>
    <w:rsid w:val="00E02EA0"/>
    <w:rsid w:val="00E03673"/>
    <w:rsid w:val="00E054FE"/>
    <w:rsid w:val="00E11E4B"/>
    <w:rsid w:val="00E127CE"/>
    <w:rsid w:val="00E328DA"/>
    <w:rsid w:val="00E5096D"/>
    <w:rsid w:val="00E516DA"/>
    <w:rsid w:val="00E608ED"/>
    <w:rsid w:val="00E82933"/>
    <w:rsid w:val="00E91CAB"/>
    <w:rsid w:val="00EA1B62"/>
    <w:rsid w:val="00EA52F6"/>
    <w:rsid w:val="00EC2C46"/>
    <w:rsid w:val="00EC3C89"/>
    <w:rsid w:val="00EC5185"/>
    <w:rsid w:val="00ED383E"/>
    <w:rsid w:val="00EE1944"/>
    <w:rsid w:val="00EE771C"/>
    <w:rsid w:val="00EF4A2C"/>
    <w:rsid w:val="00F047E7"/>
    <w:rsid w:val="00F07159"/>
    <w:rsid w:val="00F13552"/>
    <w:rsid w:val="00F16537"/>
    <w:rsid w:val="00F225AA"/>
    <w:rsid w:val="00F72F47"/>
    <w:rsid w:val="00F773A7"/>
    <w:rsid w:val="00F77637"/>
    <w:rsid w:val="00F822F4"/>
    <w:rsid w:val="00F82560"/>
    <w:rsid w:val="00F82BAB"/>
    <w:rsid w:val="00F956A6"/>
    <w:rsid w:val="00FA1AC1"/>
    <w:rsid w:val="00FA4953"/>
    <w:rsid w:val="00FE7C16"/>
    <w:rsid w:val="00FF2DD6"/>
    <w:rsid w:val="194DD3D7"/>
    <w:rsid w:val="1B7CB8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9a69c,#dee1df"/>
    </o:shapedefaults>
    <o:shapelayout v:ext="edit">
      <o:idmap v:ext="edit" data="2"/>
    </o:shapelayout>
  </w:shapeDefaults>
  <w:decimalSymbol w:val="."/>
  <w:listSeparator w:val=","/>
  <w14:docId w14:val="1E67BA5C"/>
  <w15:docId w15:val="{33BC263C-698F-4084-8886-2A43732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BD4B51"/>
    <w:pPr>
      <w:autoSpaceDE w:val="0"/>
      <w:autoSpaceDN w:val="0"/>
      <w:adjustRightInd w:val="0"/>
      <w:jc w:val="center"/>
      <w:outlineLvl w:val="0"/>
    </w:pPr>
    <w:rPr>
      <w:rFonts w:ascii="Arial" w:hAnsi="Arial" w:cs="Arial"/>
      <w:b/>
      <w:bCs/>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2AAE"/>
    <w:rPr>
      <w:rFonts w:ascii="Tahoma" w:hAnsi="Tahoma" w:cs="Tahoma"/>
      <w:sz w:val="16"/>
      <w:szCs w:val="16"/>
    </w:rPr>
  </w:style>
  <w:style w:type="paragraph" w:styleId="Header">
    <w:name w:val="header"/>
    <w:basedOn w:val="Normal"/>
    <w:rsid w:val="004E4786"/>
    <w:pPr>
      <w:tabs>
        <w:tab w:val="center" w:pos="4320"/>
        <w:tab w:val="right" w:pos="8640"/>
      </w:tabs>
    </w:pPr>
  </w:style>
  <w:style w:type="paragraph" w:styleId="Footer">
    <w:name w:val="footer"/>
    <w:basedOn w:val="Normal"/>
    <w:rsid w:val="004E4786"/>
    <w:pPr>
      <w:tabs>
        <w:tab w:val="center" w:pos="4320"/>
        <w:tab w:val="right" w:pos="8640"/>
      </w:tabs>
    </w:pPr>
  </w:style>
  <w:style w:type="character" w:styleId="PageNumber">
    <w:name w:val="page number"/>
    <w:basedOn w:val="DefaultParagraphFont"/>
    <w:rsid w:val="004E4786"/>
  </w:style>
  <w:style w:type="character" w:styleId="Hyperlink">
    <w:name w:val="Hyperlink"/>
    <w:rsid w:val="00EC3C89"/>
    <w:rPr>
      <w:rFonts w:ascii="Arial" w:hAnsi="Arial" w:cs="Arial" w:hint="default"/>
      <w:b/>
      <w:bCs/>
      <w:i w:val="0"/>
      <w:iCs w:val="0"/>
      <w:color w:val="000000"/>
      <w:sz w:val="20"/>
      <w:szCs w:val="20"/>
      <w:u w:val="single"/>
    </w:rPr>
  </w:style>
  <w:style w:type="character" w:styleId="Strong">
    <w:name w:val="Strong"/>
    <w:qFormat/>
    <w:rsid w:val="00EC3C89"/>
    <w:rPr>
      <w:b/>
      <w:bCs/>
    </w:rPr>
  </w:style>
  <w:style w:type="paragraph" w:styleId="Title">
    <w:name w:val="Title"/>
    <w:basedOn w:val="Normal"/>
    <w:next w:val="Normal"/>
    <w:link w:val="TitleChar"/>
    <w:qFormat/>
    <w:rsid w:val="00F82560"/>
    <w:rPr>
      <w:rFonts w:ascii="Arial" w:hAnsi="Arial" w:cs="Arial"/>
      <w:b/>
      <w:bCs/>
      <w:noProof/>
      <w:sz w:val="28"/>
    </w:rPr>
  </w:style>
  <w:style w:type="character" w:customStyle="1" w:styleId="TitleChar">
    <w:name w:val="Title Char"/>
    <w:link w:val="Title"/>
    <w:rsid w:val="00F82560"/>
    <w:rPr>
      <w:rFonts w:ascii="Arial" w:hAnsi="Arial" w:cs="Arial"/>
      <w:b/>
      <w:bCs/>
      <w:noProof/>
      <w:sz w:val="28"/>
      <w:szCs w:val="24"/>
      <w:lang w:eastAsia="en-US"/>
    </w:rPr>
  </w:style>
  <w:style w:type="character" w:customStyle="1" w:styleId="Heading1Char">
    <w:name w:val="Heading 1 Char"/>
    <w:link w:val="Heading1"/>
    <w:rsid w:val="00BD4B51"/>
    <w:rPr>
      <w:rFonts w:ascii="Arial" w:hAnsi="Arial" w:cs="Arial"/>
      <w:b/>
      <w:bCs/>
      <w:color w:val="000000"/>
      <w:sz w:val="32"/>
      <w:szCs w:val="24"/>
      <w:lang w:eastAsia="en-US"/>
    </w:rPr>
  </w:style>
  <w:style w:type="character" w:styleId="CommentReference">
    <w:name w:val="annotation reference"/>
    <w:uiPriority w:val="99"/>
    <w:rsid w:val="005D1FEF"/>
    <w:rPr>
      <w:sz w:val="16"/>
      <w:szCs w:val="16"/>
    </w:rPr>
  </w:style>
  <w:style w:type="paragraph" w:styleId="CommentText">
    <w:name w:val="annotation text"/>
    <w:basedOn w:val="Normal"/>
    <w:link w:val="CommentTextChar"/>
    <w:uiPriority w:val="99"/>
    <w:rsid w:val="005D1FEF"/>
    <w:rPr>
      <w:sz w:val="20"/>
      <w:szCs w:val="20"/>
    </w:rPr>
  </w:style>
  <w:style w:type="character" w:customStyle="1" w:styleId="CommentTextChar">
    <w:name w:val="Comment Text Char"/>
    <w:link w:val="CommentText"/>
    <w:uiPriority w:val="99"/>
    <w:rsid w:val="005D1FEF"/>
    <w:rPr>
      <w:lang w:eastAsia="en-US"/>
    </w:rPr>
  </w:style>
  <w:style w:type="paragraph" w:styleId="CommentSubject">
    <w:name w:val="annotation subject"/>
    <w:basedOn w:val="CommentText"/>
    <w:next w:val="CommentText"/>
    <w:link w:val="CommentSubjectChar"/>
    <w:rsid w:val="005D1FEF"/>
    <w:rPr>
      <w:b/>
      <w:bCs/>
    </w:rPr>
  </w:style>
  <w:style w:type="character" w:customStyle="1" w:styleId="CommentSubjectChar">
    <w:name w:val="Comment Subject Char"/>
    <w:link w:val="CommentSubject"/>
    <w:rsid w:val="005D1FEF"/>
    <w:rPr>
      <w:b/>
      <w:bCs/>
      <w:lang w:eastAsia="en-US"/>
    </w:rPr>
  </w:style>
  <w:style w:type="paragraph" w:styleId="ListParagraph">
    <w:name w:val="List Paragraph"/>
    <w:basedOn w:val="Normal"/>
    <w:uiPriority w:val="34"/>
    <w:qFormat/>
    <w:rsid w:val="006D6A4A"/>
    <w:pPr>
      <w:ind w:left="720"/>
    </w:pPr>
  </w:style>
  <w:style w:type="paragraph" w:styleId="NoSpacing">
    <w:name w:val="No Spacing"/>
    <w:uiPriority w:val="1"/>
    <w:qFormat/>
    <w:rsid w:val="002E1B1D"/>
    <w:rPr>
      <w:sz w:val="24"/>
      <w:szCs w:val="24"/>
      <w:lang w:eastAsia="en-US"/>
    </w:rPr>
  </w:style>
  <w:style w:type="table" w:styleId="TableGrid">
    <w:name w:val="Table Grid"/>
    <w:basedOn w:val="TableNormal"/>
    <w:rsid w:val="002E1B1D"/>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4953"/>
    <w:rPr>
      <w:color w:val="605E5C"/>
      <w:shd w:val="clear" w:color="auto" w:fill="E1DFDD"/>
    </w:rPr>
  </w:style>
  <w:style w:type="paragraph" w:styleId="Revision">
    <w:name w:val="Revision"/>
    <w:hidden/>
    <w:uiPriority w:val="99"/>
    <w:semiHidden/>
    <w:rsid w:val="00AA3796"/>
    <w:rPr>
      <w:sz w:val="24"/>
      <w:szCs w:val="24"/>
      <w:lang w:eastAsia="en-US"/>
    </w:rPr>
  </w:style>
  <w:style w:type="character" w:styleId="FollowedHyperlink">
    <w:name w:val="FollowedHyperlink"/>
    <w:basedOn w:val="DefaultParagraphFont"/>
    <w:semiHidden/>
    <w:unhideWhenUsed/>
    <w:rsid w:val="00AA3796"/>
    <w:rPr>
      <w:color w:val="800080" w:themeColor="followedHyperlink"/>
      <w:u w:val="single"/>
    </w:rPr>
  </w:style>
  <w:style w:type="paragraph" w:customStyle="1" w:styleId="Header2">
    <w:name w:val="Header 2"/>
    <w:basedOn w:val="Normal"/>
    <w:qFormat/>
    <w:rsid w:val="00BD4B51"/>
    <w:pPr>
      <w:spacing w:before="240" w:after="240"/>
    </w:pPr>
    <w:rPr>
      <w:rFonts w:ascii="Arial" w:hAnsi="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019671">
      <w:bodyDiv w:val="1"/>
      <w:marLeft w:val="0"/>
      <w:marRight w:val="0"/>
      <w:marTop w:val="0"/>
      <w:marBottom w:val="0"/>
      <w:divBdr>
        <w:top w:val="none" w:sz="0" w:space="0" w:color="auto"/>
        <w:left w:val="none" w:sz="0" w:space="0" w:color="auto"/>
        <w:bottom w:val="none" w:sz="0" w:space="0" w:color="auto"/>
        <w:right w:val="none" w:sz="0" w:space="0" w:color="auto"/>
      </w:divBdr>
      <w:divsChild>
        <w:div w:id="852035052">
          <w:marLeft w:val="1080"/>
          <w:marRight w:val="0"/>
          <w:marTop w:val="120"/>
          <w:marBottom w:val="120"/>
          <w:divBdr>
            <w:top w:val="none" w:sz="0" w:space="0" w:color="auto"/>
            <w:left w:val="none" w:sz="0" w:space="0" w:color="auto"/>
            <w:bottom w:val="none" w:sz="0" w:space="0" w:color="auto"/>
            <w:right w:val="none" w:sz="0" w:space="0" w:color="auto"/>
          </w:divBdr>
        </w:div>
      </w:divsChild>
    </w:div>
    <w:div w:id="1068118290">
      <w:bodyDiv w:val="1"/>
      <w:marLeft w:val="0"/>
      <w:marRight w:val="0"/>
      <w:marTop w:val="0"/>
      <w:marBottom w:val="0"/>
      <w:divBdr>
        <w:top w:val="none" w:sz="0" w:space="0" w:color="auto"/>
        <w:left w:val="none" w:sz="0" w:space="0" w:color="auto"/>
        <w:bottom w:val="none" w:sz="0" w:space="0" w:color="auto"/>
        <w:right w:val="none" w:sz="0" w:space="0" w:color="auto"/>
      </w:divBdr>
    </w:div>
    <w:div w:id="1202398755">
      <w:bodyDiv w:val="1"/>
      <w:marLeft w:val="0"/>
      <w:marRight w:val="0"/>
      <w:marTop w:val="0"/>
      <w:marBottom w:val="0"/>
      <w:divBdr>
        <w:top w:val="none" w:sz="0" w:space="0" w:color="auto"/>
        <w:left w:val="none" w:sz="0" w:space="0" w:color="auto"/>
        <w:bottom w:val="none" w:sz="0" w:space="0" w:color="auto"/>
        <w:right w:val="none" w:sz="0" w:space="0" w:color="auto"/>
      </w:divBdr>
      <w:divsChild>
        <w:div w:id="1053581634">
          <w:marLeft w:val="360"/>
          <w:marRight w:val="0"/>
          <w:marTop w:val="120"/>
          <w:marBottom w:val="120"/>
          <w:divBdr>
            <w:top w:val="none" w:sz="0" w:space="0" w:color="auto"/>
            <w:left w:val="none" w:sz="0" w:space="0" w:color="auto"/>
            <w:bottom w:val="none" w:sz="0" w:space="0" w:color="auto"/>
            <w:right w:val="none" w:sz="0" w:space="0" w:color="auto"/>
          </w:divBdr>
        </w:div>
        <w:div w:id="1725175134">
          <w:marLeft w:val="360"/>
          <w:marRight w:val="0"/>
          <w:marTop w:val="120"/>
          <w:marBottom w:val="120"/>
          <w:divBdr>
            <w:top w:val="none" w:sz="0" w:space="0" w:color="auto"/>
            <w:left w:val="none" w:sz="0" w:space="0" w:color="auto"/>
            <w:bottom w:val="none" w:sz="0" w:space="0" w:color="auto"/>
            <w:right w:val="none" w:sz="0" w:space="0" w:color="auto"/>
          </w:divBdr>
        </w:div>
        <w:div w:id="1835485909">
          <w:marLeft w:val="360"/>
          <w:marRight w:val="0"/>
          <w:marTop w:val="120"/>
          <w:marBottom w:val="120"/>
          <w:divBdr>
            <w:top w:val="none" w:sz="0" w:space="0" w:color="auto"/>
            <w:left w:val="none" w:sz="0" w:space="0" w:color="auto"/>
            <w:bottom w:val="none" w:sz="0" w:space="0" w:color="auto"/>
            <w:right w:val="none" w:sz="0" w:space="0" w:color="auto"/>
          </w:divBdr>
        </w:div>
      </w:divsChild>
    </w:div>
    <w:div w:id="1540700189">
      <w:bodyDiv w:val="1"/>
      <w:marLeft w:val="0"/>
      <w:marRight w:val="0"/>
      <w:marTop w:val="0"/>
      <w:marBottom w:val="0"/>
      <w:divBdr>
        <w:top w:val="none" w:sz="0" w:space="0" w:color="auto"/>
        <w:left w:val="none" w:sz="0" w:space="0" w:color="auto"/>
        <w:bottom w:val="none" w:sz="0" w:space="0" w:color="auto"/>
        <w:right w:val="none" w:sz="0" w:space="0" w:color="auto"/>
      </w:divBdr>
      <w:divsChild>
        <w:div w:id="447549804">
          <w:marLeft w:val="1080"/>
          <w:marRight w:val="0"/>
          <w:marTop w:val="120"/>
          <w:marBottom w:val="120"/>
          <w:divBdr>
            <w:top w:val="none" w:sz="0" w:space="0" w:color="auto"/>
            <w:left w:val="none" w:sz="0" w:space="0" w:color="auto"/>
            <w:bottom w:val="none" w:sz="0" w:space="0" w:color="auto"/>
            <w:right w:val="none" w:sz="0" w:space="0" w:color="auto"/>
          </w:divBdr>
        </w:div>
      </w:divsChild>
    </w:div>
    <w:div w:id="2080009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ibunalsontario.ca/cref/loi-et-regl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b.registrar@ontario.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tribunalsontario.ca/cre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5e9f66-68fb-467c-b2b7-410ff64ce0b9" xsi:nil="true"/>
    <lcf76f155ced4ddcb4097134ff3c332f xmlns="d4ee477d-3ffe-49b0-b7d6-b45ea6ea61ae">
      <Terms xmlns="http://schemas.microsoft.com/office/infopath/2007/PartnerControls"/>
    </lcf76f155ced4ddcb4097134ff3c332f>
    <SharedWithUsers xmlns="9b5e9f66-68fb-467c-b2b7-410ff64ce0b9">
      <UserInfo>
        <DisplayName>Kappel, Alex (She/Her) (MAG)</DisplayName>
        <AccountId>346</AccountId>
        <AccountType/>
      </UserInfo>
      <UserInfo>
        <DisplayName>Triantafilou, Kelly (MAG)</DisplayName>
        <AccountId>37</AccountId>
        <AccountType/>
      </UserInfo>
      <UserInfo>
        <DisplayName>Bhide, Rahul (MAG)</DisplayName>
        <AccountId>53</AccountId>
        <AccountType/>
      </UserInfo>
      <UserInfo>
        <DisplayName>McLean, Michael (MAG)</DisplayName>
        <AccountId>12</AccountId>
        <AccountType/>
      </UserInfo>
      <UserInfo>
        <DisplayName>Trifonidis, Georgia (MAG)</DisplayName>
        <AccountId>114</AccountId>
        <AccountType/>
      </UserInfo>
      <UserInfo>
        <DisplayName>Noel, Lauren (MAG)</DisplayName>
        <AccountId>19</AccountId>
        <AccountType/>
      </UserInfo>
      <UserInfo>
        <DisplayName>Gamsa, Mira (She/Her) (MAG)</DisplayName>
        <AccountId>33</AccountId>
        <AccountType/>
      </UserInfo>
      <UserInfo>
        <DisplayName>Sciarra, Lorissa (MAG)</DisplayName>
        <AccountId>32</AccountId>
        <AccountType/>
      </UserInfo>
      <UserInfo>
        <DisplayName>Jess, Kristen (MAG)</DisplayName>
        <AccountId>169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865BD5AA90DB4DBC13184AC885E9E9" ma:contentTypeVersion="17" ma:contentTypeDescription="Create a new document." ma:contentTypeScope="" ma:versionID="4cb75d3a5095499d6571bbde755e6811">
  <xsd:schema xmlns:xsd="http://www.w3.org/2001/XMLSchema" xmlns:xs="http://www.w3.org/2001/XMLSchema" xmlns:p="http://schemas.microsoft.com/office/2006/metadata/properties" xmlns:ns2="d4ee477d-3ffe-49b0-b7d6-b45ea6ea61ae" xmlns:ns3="9b5e9f66-68fb-467c-b2b7-410ff64ce0b9" targetNamespace="http://schemas.microsoft.com/office/2006/metadata/properties" ma:root="true" ma:fieldsID="190f77c73a177c15692532b225fcc4ad" ns2:_="" ns3:_="">
    <xsd:import namespace="d4ee477d-3ffe-49b0-b7d6-b45ea6ea61ae"/>
    <xsd:import namespace="9b5e9f66-68fb-467c-b2b7-410ff64ce0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e477d-3ffe-49b0-b7d6-b45ea6ea6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e9f66-68fb-467c-b2b7-410ff64ce0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7e3674-c2dd-478d-9164-7ad8607a6f91}" ma:internalName="TaxCatchAll" ma:showField="CatchAllData" ma:web="9b5e9f66-68fb-467c-b2b7-410ff64ce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6B51B-6A0B-4411-9194-4BBB0544CF7F}">
  <ds:schemaRefs>
    <ds:schemaRef ds:uri="http://schemas.microsoft.com/sharepoint/v3/contenttype/forms"/>
  </ds:schemaRefs>
</ds:datastoreItem>
</file>

<file path=customXml/itemProps2.xml><?xml version="1.0" encoding="utf-8"?>
<ds:datastoreItem xmlns:ds="http://schemas.openxmlformats.org/officeDocument/2006/customXml" ds:itemID="{CBD4561C-21E7-47E7-8A44-F4AEEAE54387}">
  <ds:schemaRefs>
    <ds:schemaRef ds:uri="9b5e9f66-68fb-467c-b2b7-410ff64ce0b9"/>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d4ee477d-3ffe-49b0-b7d6-b45ea6ea61ae"/>
    <ds:schemaRef ds:uri="http://www.w3.org/XML/1998/namespace"/>
    <ds:schemaRef ds:uri="http://purl.org/dc/dcmitype/"/>
  </ds:schemaRefs>
</ds:datastoreItem>
</file>

<file path=customXml/itemProps3.xml><?xml version="1.0" encoding="utf-8"?>
<ds:datastoreItem xmlns:ds="http://schemas.openxmlformats.org/officeDocument/2006/customXml" ds:itemID="{13F16B47-FD0F-4A49-8E2C-FA26FBE7A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e477d-3ffe-49b0-b7d6-b45ea6ea61ae"/>
    <ds:schemaRef ds:uri="9b5e9f66-68fb-467c-b2b7-410ff64ce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A798D-3B92-45A7-8491-FBC60BC9DCBA}">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55</TotalTime>
  <Pages>2</Pages>
  <Words>708</Words>
  <Characters>4235</Characters>
  <Application>Microsoft Office Word</Application>
  <DocSecurity>0</DocSecurity>
  <Lines>108</Lines>
  <Paragraphs>54</Paragraphs>
  <ScaleCrop>false</ScaleCrop>
  <Company>Government of Ontario</Company>
  <LinksUpToDate>false</LinksUpToDate>
  <CharactersWithSpaces>4889</CharactersWithSpaces>
  <SharedDoc>false</SharedDoc>
  <HLinks>
    <vt:vector size="36" baseType="variant">
      <vt:variant>
        <vt:i4>8060963</vt:i4>
      </vt:variant>
      <vt:variant>
        <vt:i4>9</vt:i4>
      </vt:variant>
      <vt:variant>
        <vt:i4>0</vt:i4>
      </vt:variant>
      <vt:variant>
        <vt:i4>5</vt:i4>
      </vt:variant>
      <vt:variant>
        <vt:lpwstr>http://tribunalsontario.ca/arb/</vt:lpwstr>
      </vt:variant>
      <vt:variant>
        <vt:lpwstr/>
      </vt:variant>
      <vt:variant>
        <vt:i4>6422535</vt:i4>
      </vt:variant>
      <vt:variant>
        <vt:i4>6</vt:i4>
      </vt:variant>
      <vt:variant>
        <vt:i4>0</vt:i4>
      </vt:variant>
      <vt:variant>
        <vt:i4>5</vt:i4>
      </vt:variant>
      <vt:variant>
        <vt:lpwstr>mailto:arb.registrar@ontario.ca</vt:lpwstr>
      </vt:variant>
      <vt:variant>
        <vt:lpwstr/>
      </vt:variant>
      <vt:variant>
        <vt:i4>851977</vt:i4>
      </vt:variant>
      <vt:variant>
        <vt:i4>3</vt:i4>
      </vt:variant>
      <vt:variant>
        <vt:i4>0</vt:i4>
      </vt:variant>
      <vt:variant>
        <vt:i4>5</vt:i4>
      </vt:variant>
      <vt:variant>
        <vt:lpwstr>http://tribunalsontario.ca/arb/legislation-and-rules/</vt:lpwstr>
      </vt:variant>
      <vt:variant>
        <vt:lpwstr/>
      </vt:variant>
      <vt:variant>
        <vt:i4>6422535</vt:i4>
      </vt:variant>
      <vt:variant>
        <vt:i4>0</vt:i4>
      </vt:variant>
      <vt:variant>
        <vt:i4>0</vt:i4>
      </vt:variant>
      <vt:variant>
        <vt:i4>5</vt:i4>
      </vt:variant>
      <vt:variant>
        <vt:lpwstr>mailto:arb.registrar@ontario.ca</vt:lpwstr>
      </vt:variant>
      <vt:variant>
        <vt:lpwstr/>
      </vt:variant>
      <vt:variant>
        <vt:i4>1310817</vt:i4>
      </vt:variant>
      <vt:variant>
        <vt:i4>3</vt:i4>
      </vt:variant>
      <vt:variant>
        <vt:i4>0</vt:i4>
      </vt:variant>
      <vt:variant>
        <vt:i4>5</vt:i4>
      </vt:variant>
      <vt:variant>
        <vt:lpwstr>https://tribunalsontario.ca/documents/arb/EN_Info-Sheet-Scheduling-Policy.pdf</vt:lpwstr>
      </vt:variant>
      <vt:variant>
        <vt:lpwstr/>
      </vt:variant>
      <vt:variant>
        <vt:i4>6750230</vt:i4>
      </vt:variant>
      <vt:variant>
        <vt:i4>0</vt:i4>
      </vt:variant>
      <vt:variant>
        <vt:i4>0</vt:i4>
      </vt:variant>
      <vt:variant>
        <vt:i4>5</vt:i4>
      </vt:variant>
      <vt:variant>
        <vt:lpwstr>https://tribunalsontario.ca/documents/arb/EN_Info-Sheet-Scheduling-Policy.docx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David James Bryan</dc:creator>
  <cp:keywords/>
  <cp:lastModifiedBy>McLean, Michael (MAG)</cp:lastModifiedBy>
  <cp:revision>28</cp:revision>
  <cp:lastPrinted>2021-10-07T16:32:00Z</cp:lastPrinted>
  <dcterms:created xsi:type="dcterms:W3CDTF">2024-04-17T13:14:00Z</dcterms:created>
  <dcterms:modified xsi:type="dcterms:W3CDTF">2024-04-29T17:34:00Z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2021-10-06T15:49:53Z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73a6e9c3-906d-473d-9979-12e7218ef7ef</vt:lpwstr>
  </property>
  <property fmtid="{D5CDD505-2E9C-101B-9397-08002B2CF9AE}" pid="8" name="MSIP_Label_034a106e-6316-442c-ad35-738afd673d2b_ContentBits">
    <vt:lpwstr>0</vt:lpwstr>
  </property>
  <property fmtid="{D5CDD505-2E9C-101B-9397-08002B2CF9AE}" pid="9" name="ContentTypeId">
    <vt:lpwstr>0x010100DA865BD5AA90DB4DBC13184AC885E9E9</vt:lpwstr>
  </property>
  <property fmtid="{D5CDD505-2E9C-101B-9397-08002B2CF9AE}" pid="10" name="MediaServiceImageTags">
    <vt:lpwstr/>
  </property>
</Properties>
</file>