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D9CA" w14:textId="77777777" w:rsidR="00322297" w:rsidRDefault="00721BAA" w:rsidP="001D1AA2">
      <w:pPr>
        <w:rPr>
          <w:rStyle w:val="TitleChar"/>
          <w:lang w:val="fr-CA"/>
        </w:rPr>
      </w:pPr>
      <w:r>
        <w:rPr>
          <w:noProof/>
        </w:rPr>
        <w:drawing>
          <wp:inline distT="0" distB="0" distL="0" distR="0" wp14:anchorId="0DD68B6A" wp14:editId="4F8DB2E3">
            <wp:extent cx="4782312" cy="777240"/>
            <wp:effectExtent l="0" t="0" r="0" b="3810"/>
            <wp:docPr id="10" name="Picture 10" descr="Armoiries de l'Ontario avec les titres des Tribunaux décisionnels Ontario et de la Commission de révision de l’évaluation fonciè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rmoiries de l'Ontario avec les titres des Tribunaux décisionnels Ontario et de la Commission de révision de l’évaluation foncièr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1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E3A" w:rsidRPr="005B6CB2">
        <w:rPr>
          <w:rStyle w:val="TitleChar"/>
          <w:lang w:val="fr-CA"/>
        </w:rPr>
        <w:br/>
      </w:r>
    </w:p>
    <w:p w14:paraId="1DD94BF4" w14:textId="77777777" w:rsidR="002728E2" w:rsidRDefault="002728E2" w:rsidP="002728E2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(</w:t>
      </w:r>
      <w:proofErr w:type="spellStart"/>
      <w:r>
        <w:rPr>
          <w:rFonts w:ascii="Arial" w:hAnsi="Arial" w:cs="Arial"/>
          <w:i/>
          <w:iCs/>
          <w:sz w:val="18"/>
          <w:szCs w:val="18"/>
          <w:lang w:val="fr-CA"/>
        </w:rPr>
        <w:t>Available</w:t>
      </w:r>
      <w:proofErr w:type="spellEnd"/>
      <w:r>
        <w:rPr>
          <w:rFonts w:ascii="Arial" w:hAnsi="Arial" w:cs="Arial"/>
          <w:i/>
          <w:iCs/>
          <w:sz w:val="18"/>
          <w:szCs w:val="18"/>
          <w:lang w:val="fr-CA"/>
        </w:rPr>
        <w:t xml:space="preserve"> in English)</w:t>
      </w:r>
    </w:p>
    <w:p w14:paraId="6EF31476" w14:textId="67DD94C3" w:rsidR="009412F6" w:rsidRPr="005B6CB2" w:rsidRDefault="00322297" w:rsidP="00322297">
      <w:pPr>
        <w:jc w:val="center"/>
        <w:rPr>
          <w:lang w:val="fr-CA"/>
        </w:rPr>
      </w:pPr>
      <w:r>
        <w:rPr>
          <w:rStyle w:val="TitleChar"/>
          <w:lang w:val="fr-CA"/>
        </w:rPr>
        <w:t>Ajournements</w:t>
      </w:r>
      <w:r w:rsidR="00F9749F" w:rsidRPr="005B6CB2">
        <w:rPr>
          <w:lang w:val="fr-CA"/>
        </w:rPr>
        <w:br/>
      </w:r>
    </w:p>
    <w:p w14:paraId="7E64EB46" w14:textId="1BFFA5EA" w:rsidR="005A6B60" w:rsidRPr="005B6CB2" w:rsidRDefault="008928D9" w:rsidP="006E4390">
      <w:pPr>
        <w:pStyle w:val="NoSpacing"/>
        <w:rPr>
          <w:rFonts w:ascii="Arial" w:hAnsi="Arial" w:cs="Arial"/>
          <w:lang w:val="fr-CA"/>
        </w:rPr>
      </w:pPr>
      <w:r>
        <w:rPr>
          <w:rStyle w:val="TitleChar"/>
          <w:lang w:val="fr-CA"/>
        </w:rPr>
        <w:t>Qu’est-ce qu’un ajournement</w:t>
      </w:r>
      <w:r w:rsidR="00C83FCA">
        <w:rPr>
          <w:rStyle w:val="TitleChar"/>
          <w:lang w:val="fr-CA"/>
        </w:rPr>
        <w:t xml:space="preserve"> </w:t>
      </w:r>
      <w:r>
        <w:rPr>
          <w:rStyle w:val="TitleChar"/>
          <w:lang w:val="fr-CA"/>
        </w:rPr>
        <w:t>?</w:t>
      </w:r>
      <w:r w:rsidRPr="000426E5" w:rsidDel="008928D9">
        <w:rPr>
          <w:rStyle w:val="TitleChar"/>
          <w:lang w:val="fr-CA"/>
        </w:rPr>
        <w:t xml:space="preserve"> </w:t>
      </w:r>
      <w:r w:rsidR="005A6B60" w:rsidRPr="005B6CB2">
        <w:rPr>
          <w:lang w:val="fr-CA"/>
        </w:rPr>
        <w:br/>
      </w:r>
    </w:p>
    <w:p w14:paraId="00A2D8BD" w14:textId="77777777" w:rsidR="001E4A31" w:rsidRDefault="00751E91" w:rsidP="006E4390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Un ajournement s’entend du</w:t>
      </w:r>
      <w:r w:rsidR="008928D9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 xml:space="preserve">report </w:t>
      </w:r>
      <w:r w:rsidR="008928D9">
        <w:rPr>
          <w:rFonts w:ascii="Arial" w:hAnsi="Arial" w:cs="Arial"/>
          <w:lang w:val="fr-CA"/>
        </w:rPr>
        <w:t xml:space="preserve">de toute date limite </w:t>
      </w:r>
      <w:r w:rsidR="00627CD0">
        <w:rPr>
          <w:rFonts w:ascii="Arial" w:hAnsi="Arial" w:cs="Arial"/>
          <w:lang w:val="fr-CA"/>
        </w:rPr>
        <w:t xml:space="preserve">figurant dans </w:t>
      </w:r>
      <w:r w:rsidR="008928D9">
        <w:rPr>
          <w:rFonts w:ascii="Arial" w:hAnsi="Arial" w:cs="Arial"/>
          <w:lang w:val="fr-CA"/>
        </w:rPr>
        <w:t xml:space="preserve">un calendrier des procédures établi conformément aux </w:t>
      </w:r>
      <w:r w:rsidRPr="005B6CB2">
        <w:rPr>
          <w:rFonts w:ascii="Arial" w:hAnsi="Arial" w:cs="Arial"/>
          <w:i/>
          <w:lang w:val="fr-CA"/>
        </w:rPr>
        <w:t>R</w:t>
      </w:r>
      <w:r w:rsidR="008928D9" w:rsidRPr="005B6CB2">
        <w:rPr>
          <w:rFonts w:ascii="Arial" w:hAnsi="Arial" w:cs="Arial"/>
          <w:i/>
          <w:lang w:val="fr-CA"/>
        </w:rPr>
        <w:t>ègles de pratique et de procédure</w:t>
      </w:r>
      <w:r w:rsidR="008928D9">
        <w:rPr>
          <w:rFonts w:ascii="Arial" w:hAnsi="Arial" w:cs="Arial"/>
          <w:lang w:val="fr-CA"/>
        </w:rPr>
        <w:t xml:space="preserve"> de la Commission de révision de l’évaluation foncière (CRÉF), ainsi que de </w:t>
      </w:r>
      <w:r>
        <w:rPr>
          <w:rFonts w:ascii="Arial" w:hAnsi="Arial" w:cs="Arial"/>
          <w:lang w:val="fr-CA"/>
        </w:rPr>
        <w:t xml:space="preserve">la date fixée pour </w:t>
      </w:r>
      <w:r w:rsidR="008928D9">
        <w:rPr>
          <w:rFonts w:ascii="Arial" w:hAnsi="Arial" w:cs="Arial"/>
          <w:lang w:val="fr-CA"/>
        </w:rPr>
        <w:t xml:space="preserve">toute comparution devant la CRÉF. </w:t>
      </w:r>
    </w:p>
    <w:p w14:paraId="02618B54" w14:textId="77777777" w:rsidR="001E4A31" w:rsidRDefault="001E4A31" w:rsidP="006E4390">
      <w:pPr>
        <w:pStyle w:val="NoSpacing"/>
        <w:rPr>
          <w:rFonts w:ascii="Arial" w:hAnsi="Arial" w:cs="Arial"/>
          <w:lang w:val="fr-CA"/>
        </w:rPr>
      </w:pPr>
    </w:p>
    <w:p w14:paraId="732ABFA0" w14:textId="77777777" w:rsidR="005A6B60" w:rsidRDefault="008928D9" w:rsidP="006E4390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Toutes les </w:t>
      </w:r>
      <w:r w:rsidR="00751E91">
        <w:rPr>
          <w:rFonts w:ascii="Arial" w:hAnsi="Arial" w:cs="Arial"/>
          <w:lang w:val="fr-CA"/>
        </w:rPr>
        <w:t xml:space="preserve">demandes </w:t>
      </w:r>
      <w:r w:rsidR="001E4A31">
        <w:rPr>
          <w:rFonts w:ascii="Arial" w:hAnsi="Arial" w:cs="Arial"/>
          <w:lang w:val="fr-CA"/>
        </w:rPr>
        <w:t>d’ajournement doivent être présentées avant la date limite ou</w:t>
      </w:r>
      <w:r w:rsidR="00751E91">
        <w:rPr>
          <w:rFonts w:ascii="Arial" w:hAnsi="Arial" w:cs="Arial"/>
          <w:lang w:val="fr-CA"/>
        </w:rPr>
        <w:t xml:space="preserve"> avant</w:t>
      </w:r>
      <w:r w:rsidR="001E4A31">
        <w:rPr>
          <w:rFonts w:ascii="Arial" w:hAnsi="Arial" w:cs="Arial"/>
          <w:lang w:val="fr-CA"/>
        </w:rPr>
        <w:t xml:space="preserve"> la date fixée pour la comparution devant la CRÉF. Les ajournements ne seront accordés que dans des circonstances exceptionnelles.</w:t>
      </w:r>
    </w:p>
    <w:p w14:paraId="4A06459C" w14:textId="77777777" w:rsidR="001E4A31" w:rsidRPr="005B6CB2" w:rsidRDefault="001E4A31" w:rsidP="006E4390">
      <w:pPr>
        <w:pStyle w:val="NoSpacing"/>
        <w:rPr>
          <w:lang w:val="fr-CA"/>
        </w:rPr>
      </w:pPr>
      <w:r>
        <w:rPr>
          <w:rFonts w:ascii="Arial" w:hAnsi="Arial" w:cs="Arial"/>
          <w:lang w:val="fr-CA"/>
        </w:rPr>
        <w:t>Si votre demande visant à obtenir un ajournement d’une comparution devant la CRÉF est refusée, celle-ci tiendra l’audience à la date prévue et vous devrez être présent(e).</w:t>
      </w:r>
    </w:p>
    <w:p w14:paraId="6DA95327" w14:textId="77777777" w:rsidR="007B27CB" w:rsidRPr="005B6CB2" w:rsidRDefault="007B27CB" w:rsidP="006E4390">
      <w:pPr>
        <w:pStyle w:val="NoSpacing"/>
        <w:rPr>
          <w:rFonts w:ascii="Arial" w:hAnsi="Arial" w:cs="Arial"/>
          <w:lang w:val="fr-CA"/>
        </w:rPr>
      </w:pPr>
    </w:p>
    <w:p w14:paraId="13E7E513" w14:textId="398CC48B" w:rsidR="00FA5D43" w:rsidRPr="005B6CB2" w:rsidRDefault="00F9749F" w:rsidP="006E4390">
      <w:pPr>
        <w:pStyle w:val="NoSpacing"/>
        <w:rPr>
          <w:rStyle w:val="TitleChar"/>
          <w:lang w:val="fr-CA"/>
        </w:rPr>
      </w:pPr>
      <w:bookmarkStart w:id="0" w:name="OLE_LINK1"/>
      <w:r w:rsidRPr="005B6CB2">
        <w:rPr>
          <w:rStyle w:val="TitleChar"/>
          <w:lang w:val="fr-CA"/>
        </w:rPr>
        <w:br/>
      </w:r>
      <w:r w:rsidR="001E4A31">
        <w:rPr>
          <w:rStyle w:val="TitleChar"/>
          <w:lang w:val="fr-CA"/>
        </w:rPr>
        <w:t>Comment dois-je procéder pour demander un ajournement</w:t>
      </w:r>
      <w:r w:rsidR="00C83FCA">
        <w:rPr>
          <w:rStyle w:val="TitleChar"/>
          <w:lang w:val="fr-CA"/>
        </w:rPr>
        <w:t xml:space="preserve"> </w:t>
      </w:r>
      <w:r w:rsidR="001E4A31">
        <w:rPr>
          <w:rStyle w:val="TitleChar"/>
          <w:lang w:val="fr-CA"/>
        </w:rPr>
        <w:t>?</w:t>
      </w:r>
    </w:p>
    <w:p w14:paraId="424BBE94" w14:textId="77777777" w:rsidR="002D4415" w:rsidRPr="005B6CB2" w:rsidRDefault="002D4415" w:rsidP="006E4390">
      <w:pPr>
        <w:pStyle w:val="NoSpacing"/>
        <w:rPr>
          <w:rStyle w:val="TitleChar"/>
          <w:lang w:val="fr-CA"/>
        </w:rPr>
      </w:pPr>
    </w:p>
    <w:p w14:paraId="6EDB01D7" w14:textId="77777777" w:rsidR="00BE56BE" w:rsidRPr="005B6CB2" w:rsidRDefault="00C237F3" w:rsidP="006E4390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Vous devez demander un </w:t>
      </w:r>
      <w:r w:rsidR="001E4A31">
        <w:rPr>
          <w:rFonts w:ascii="Arial" w:hAnsi="Arial" w:cs="Arial"/>
          <w:lang w:val="fr-CA"/>
        </w:rPr>
        <w:t>ajournement</w:t>
      </w:r>
      <w:r w:rsidR="00680B9F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à la</w:t>
      </w:r>
      <w:r w:rsidR="00680B9F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CRÉF</w:t>
      </w:r>
      <w:r w:rsidR="00680B9F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 xml:space="preserve">dès que vous savez que vous </w:t>
      </w:r>
      <w:r w:rsidR="00751E91">
        <w:rPr>
          <w:rFonts w:ascii="Arial" w:hAnsi="Arial" w:cs="Arial"/>
          <w:lang w:val="fr-CA"/>
        </w:rPr>
        <w:t xml:space="preserve">pourriez en avoir </w:t>
      </w:r>
      <w:r>
        <w:rPr>
          <w:rFonts w:ascii="Arial" w:hAnsi="Arial" w:cs="Arial"/>
          <w:lang w:val="fr-CA"/>
        </w:rPr>
        <w:t>besoin. Avant de présenter une motion d’</w:t>
      </w:r>
      <w:r w:rsidR="001E4A31">
        <w:rPr>
          <w:rFonts w:ascii="Arial" w:hAnsi="Arial" w:cs="Arial"/>
          <w:lang w:val="fr-CA"/>
        </w:rPr>
        <w:t>ajournement</w:t>
      </w:r>
      <w:r>
        <w:rPr>
          <w:rFonts w:ascii="Arial" w:hAnsi="Arial" w:cs="Arial"/>
          <w:lang w:val="fr-CA"/>
        </w:rPr>
        <w:t xml:space="preserve"> à la CRÉF, vous devez demander aux autres parties en cause dans</w:t>
      </w:r>
      <w:r w:rsidR="00574259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votre appel si elles consentent à l’</w:t>
      </w:r>
      <w:r w:rsidR="001E4A31">
        <w:rPr>
          <w:rFonts w:ascii="Arial" w:hAnsi="Arial" w:cs="Arial"/>
          <w:lang w:val="fr-CA"/>
        </w:rPr>
        <w:t>ajournement</w:t>
      </w:r>
      <w:r>
        <w:rPr>
          <w:rFonts w:ascii="Arial" w:hAnsi="Arial" w:cs="Arial"/>
          <w:lang w:val="fr-CA"/>
        </w:rPr>
        <w:t>.</w:t>
      </w:r>
      <w:r w:rsidR="007F68E2" w:rsidRPr="005B6CB2">
        <w:rPr>
          <w:rFonts w:ascii="Arial" w:hAnsi="Arial" w:cs="Arial"/>
          <w:lang w:val="fr-CA"/>
        </w:rPr>
        <w:t xml:space="preserve"> </w:t>
      </w:r>
    </w:p>
    <w:p w14:paraId="62E27948" w14:textId="77777777" w:rsidR="00BE56BE" w:rsidRPr="005B6CB2" w:rsidRDefault="00BE56BE" w:rsidP="006E4390">
      <w:pPr>
        <w:pStyle w:val="NoSpacing"/>
        <w:rPr>
          <w:rFonts w:ascii="Arial" w:hAnsi="Arial" w:cs="Arial"/>
          <w:lang w:val="fr-CA"/>
        </w:rPr>
      </w:pPr>
    </w:p>
    <w:p w14:paraId="2553B9D1" w14:textId="03FC5EAB" w:rsidR="009B7758" w:rsidRPr="005B6CB2" w:rsidRDefault="00C237F3" w:rsidP="006E4390">
      <w:pPr>
        <w:pStyle w:val="NoSpacing"/>
        <w:rPr>
          <w:rFonts w:ascii="Arial" w:hAnsi="Arial" w:cs="Arial"/>
          <w:b/>
          <w:lang w:val="fr-CA"/>
        </w:rPr>
      </w:pPr>
      <w:r>
        <w:rPr>
          <w:rFonts w:ascii="Arial" w:hAnsi="Arial" w:cs="Arial"/>
          <w:lang w:val="fr-CA"/>
        </w:rPr>
        <w:t xml:space="preserve">Remplissez le formulaire de </w:t>
      </w:r>
      <w:hyperlink r:id="rId9" w:history="1">
        <w:r w:rsidR="00C018A5">
          <w:rPr>
            <w:rStyle w:val="Hyperlink"/>
            <w:sz w:val="24"/>
            <w:szCs w:val="24"/>
            <w:lang w:val="fr-CA"/>
          </w:rPr>
          <w:t>D</w:t>
        </w:r>
        <w:r w:rsidRPr="00C018A5">
          <w:rPr>
            <w:rStyle w:val="Hyperlink"/>
            <w:sz w:val="24"/>
            <w:szCs w:val="24"/>
            <w:lang w:val="fr-CA"/>
          </w:rPr>
          <w:t>emande de directives accélérées</w:t>
        </w:r>
      </w:hyperlink>
      <w:r>
        <w:rPr>
          <w:rFonts w:ascii="Arial" w:hAnsi="Arial" w:cs="Arial"/>
          <w:lang w:val="fr-CA"/>
        </w:rPr>
        <w:t xml:space="preserve"> et envoyez-le par courrier électronique au registraire </w:t>
      </w:r>
      <w:r w:rsidR="00305823">
        <w:rPr>
          <w:rFonts w:ascii="Arial" w:hAnsi="Arial" w:cs="Arial"/>
          <w:lang w:val="fr-CA"/>
        </w:rPr>
        <w:t xml:space="preserve">à </w:t>
      </w:r>
      <w:r w:rsidR="00305823" w:rsidRPr="005B6CB2">
        <w:rPr>
          <w:rFonts w:ascii="Arial" w:hAnsi="Arial" w:cs="Arial"/>
          <w:b/>
          <w:u w:val="single"/>
          <w:lang w:val="fr-CA"/>
        </w:rPr>
        <w:t>arb.</w:t>
      </w:r>
      <w:hyperlink r:id="rId10" w:history="1">
        <w:r w:rsidR="00305823" w:rsidRPr="005B6CB2">
          <w:rPr>
            <w:rStyle w:val="Hyperlink"/>
            <w:sz w:val="24"/>
            <w:szCs w:val="24"/>
            <w:lang w:val="fr-CA"/>
          </w:rPr>
          <w:t>registrar@ontario.ca</w:t>
        </w:r>
      </w:hyperlink>
      <w:r w:rsidR="0002627A" w:rsidRPr="005B6CB2">
        <w:rPr>
          <w:rStyle w:val="Hyperlink"/>
          <w:sz w:val="24"/>
          <w:szCs w:val="24"/>
          <w:lang w:val="fr-CA"/>
        </w:rPr>
        <w:t>.</w:t>
      </w:r>
      <w:r w:rsidR="0002627A" w:rsidRPr="005B6CB2">
        <w:rPr>
          <w:rStyle w:val="Hyperlink"/>
          <w:sz w:val="24"/>
          <w:szCs w:val="24"/>
          <w:u w:val="none"/>
          <w:lang w:val="fr-CA"/>
        </w:rPr>
        <w:t xml:space="preserve">  </w:t>
      </w:r>
      <w:r w:rsidR="00305823" w:rsidRPr="005B6CB2">
        <w:rPr>
          <w:rStyle w:val="Hyperlink"/>
          <w:b w:val="0"/>
          <w:sz w:val="24"/>
          <w:szCs w:val="24"/>
          <w:u w:val="none"/>
          <w:lang w:val="fr-CA"/>
        </w:rPr>
        <w:t>Assurez-vous d’inclure les renseignements suivants :</w:t>
      </w:r>
    </w:p>
    <w:p w14:paraId="180C47AB" w14:textId="77777777" w:rsidR="00634A07" w:rsidRPr="005B6CB2" w:rsidRDefault="00634A07" w:rsidP="006E4390">
      <w:pPr>
        <w:pStyle w:val="NoSpacing"/>
        <w:ind w:left="720"/>
        <w:rPr>
          <w:rFonts w:ascii="Arial" w:hAnsi="Arial" w:cs="Arial"/>
          <w:lang w:val="fr-CA"/>
        </w:rPr>
      </w:pPr>
    </w:p>
    <w:p w14:paraId="2A261C33" w14:textId="77777777" w:rsidR="00C737CD" w:rsidRPr="005B6CB2" w:rsidRDefault="00305823" w:rsidP="006E4390">
      <w:pPr>
        <w:pStyle w:val="NoSpacing"/>
        <w:numPr>
          <w:ilvl w:val="0"/>
          <w:numId w:val="1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les</w:t>
      </w:r>
      <w:proofErr w:type="gramEnd"/>
      <w:r>
        <w:rPr>
          <w:rFonts w:ascii="Arial" w:hAnsi="Arial" w:cs="Arial"/>
          <w:lang w:val="fr-CA"/>
        </w:rPr>
        <w:t xml:space="preserve"> raisons pour lesquelles vous sollicitez un </w:t>
      </w:r>
      <w:r w:rsidR="001E4A31">
        <w:rPr>
          <w:rFonts w:ascii="Arial" w:hAnsi="Arial" w:cs="Arial"/>
          <w:lang w:val="fr-CA"/>
        </w:rPr>
        <w:t>ajournement</w:t>
      </w:r>
      <w:r w:rsidR="00F96C02" w:rsidRPr="005B6CB2">
        <w:rPr>
          <w:rFonts w:ascii="Arial" w:hAnsi="Arial" w:cs="Arial"/>
          <w:lang w:val="fr-CA"/>
        </w:rPr>
        <w:t>;</w:t>
      </w:r>
    </w:p>
    <w:p w14:paraId="1314A965" w14:textId="77777777" w:rsidR="007B27CB" w:rsidRPr="005B6CB2" w:rsidRDefault="00305823" w:rsidP="006E4390">
      <w:pPr>
        <w:pStyle w:val="NoSpacing"/>
        <w:numPr>
          <w:ilvl w:val="0"/>
          <w:numId w:val="1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au</w:t>
      </w:r>
      <w:proofErr w:type="gramEnd"/>
      <w:r>
        <w:rPr>
          <w:rFonts w:ascii="Arial" w:hAnsi="Arial" w:cs="Arial"/>
          <w:lang w:val="fr-CA"/>
        </w:rPr>
        <w:t xml:space="preserve"> moins trois dates proposées pour la tenue de l’audience</w:t>
      </w:r>
      <w:r w:rsidR="00627CD0">
        <w:rPr>
          <w:rFonts w:ascii="Arial" w:hAnsi="Arial" w:cs="Arial"/>
          <w:lang w:val="fr-CA"/>
        </w:rPr>
        <w:t xml:space="preserve"> en question</w:t>
      </w:r>
      <w:r>
        <w:rPr>
          <w:rFonts w:ascii="Arial" w:hAnsi="Arial" w:cs="Arial"/>
          <w:lang w:val="fr-CA"/>
        </w:rPr>
        <w:t>;</w:t>
      </w:r>
    </w:p>
    <w:p w14:paraId="1AB34B81" w14:textId="77777777" w:rsidR="007B27CB" w:rsidRDefault="00305823" w:rsidP="006E4390">
      <w:pPr>
        <w:pStyle w:val="NoSpacing"/>
        <w:numPr>
          <w:ilvl w:val="0"/>
          <w:numId w:val="18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une</w:t>
      </w:r>
      <w:proofErr w:type="gramEnd"/>
      <w:r>
        <w:rPr>
          <w:rFonts w:ascii="Arial" w:hAnsi="Arial" w:cs="Arial"/>
          <w:lang w:val="fr-CA"/>
        </w:rPr>
        <w:t xml:space="preserve"> </w:t>
      </w:r>
      <w:r w:rsidR="007B27CB" w:rsidRPr="005B6CB2">
        <w:rPr>
          <w:rFonts w:ascii="Arial" w:hAnsi="Arial" w:cs="Arial"/>
          <w:lang w:val="fr-CA"/>
        </w:rPr>
        <w:t xml:space="preserve">confirmation </w:t>
      </w:r>
      <w:r>
        <w:rPr>
          <w:rFonts w:ascii="Arial" w:hAnsi="Arial" w:cs="Arial"/>
          <w:lang w:val="fr-CA"/>
        </w:rPr>
        <w:t xml:space="preserve">du fait que les autres parties ont été avisées de la </w:t>
      </w:r>
      <w:r w:rsidR="00751E91">
        <w:rPr>
          <w:rFonts w:ascii="Arial" w:hAnsi="Arial" w:cs="Arial"/>
          <w:lang w:val="fr-CA"/>
        </w:rPr>
        <w:t xml:space="preserve">demande </w:t>
      </w:r>
      <w:r>
        <w:rPr>
          <w:rFonts w:ascii="Arial" w:hAnsi="Arial" w:cs="Arial"/>
          <w:lang w:val="fr-CA"/>
        </w:rPr>
        <w:t>d’ajournement et qu’elles y consentent.</w:t>
      </w:r>
    </w:p>
    <w:p w14:paraId="6B645619" w14:textId="77777777" w:rsidR="001B5305" w:rsidRPr="001B5305" w:rsidRDefault="001B5305" w:rsidP="001B5305">
      <w:pPr>
        <w:pStyle w:val="NoSpacing"/>
        <w:numPr>
          <w:ilvl w:val="0"/>
          <w:numId w:val="18"/>
        </w:numPr>
        <w:rPr>
          <w:rFonts w:ascii="Arial" w:hAnsi="Arial" w:cs="Arial"/>
          <w:lang w:val="fr-CA"/>
        </w:rPr>
      </w:pPr>
      <w:r w:rsidRPr="001B5305">
        <w:rPr>
          <w:rFonts w:ascii="Arial" w:hAnsi="Arial" w:cs="Arial"/>
          <w:lang w:val="fr-CA"/>
        </w:rPr>
        <w:t>Confirmer si l’appel fait partie de l’instance générale ou l’instance sommaire</w:t>
      </w:r>
    </w:p>
    <w:p w14:paraId="0347ECCE" w14:textId="77777777" w:rsidR="001B5305" w:rsidRPr="001B5305" w:rsidRDefault="001B5305" w:rsidP="001B5305">
      <w:pPr>
        <w:pStyle w:val="NoSpacing"/>
        <w:numPr>
          <w:ilvl w:val="0"/>
          <w:numId w:val="18"/>
        </w:numPr>
        <w:rPr>
          <w:rFonts w:ascii="Arial" w:hAnsi="Arial" w:cs="Arial"/>
          <w:lang w:val="fr-CA"/>
        </w:rPr>
      </w:pPr>
      <w:r w:rsidRPr="001B5305">
        <w:rPr>
          <w:rFonts w:ascii="Arial" w:hAnsi="Arial" w:cs="Arial"/>
          <w:lang w:val="fr-CA"/>
        </w:rPr>
        <w:t>La date dont laquelle l’avis d’audience était servis aux parties</w:t>
      </w:r>
    </w:p>
    <w:p w14:paraId="795447B7" w14:textId="77777777" w:rsidR="001B5305" w:rsidRPr="001B5305" w:rsidRDefault="001B5305" w:rsidP="001B5305">
      <w:pPr>
        <w:pStyle w:val="NoSpacing"/>
        <w:numPr>
          <w:ilvl w:val="0"/>
          <w:numId w:val="18"/>
        </w:numPr>
        <w:rPr>
          <w:rFonts w:ascii="Arial" w:hAnsi="Arial" w:cs="Arial"/>
          <w:lang w:val="fr-CA"/>
        </w:rPr>
      </w:pPr>
      <w:r w:rsidRPr="001B5305">
        <w:rPr>
          <w:rFonts w:ascii="Arial" w:hAnsi="Arial" w:cs="Arial"/>
          <w:lang w:val="fr-CA"/>
        </w:rPr>
        <w:t>S’il y avait d’autres ajournements préalablement à l’audience</w:t>
      </w:r>
    </w:p>
    <w:p w14:paraId="3150301E" w14:textId="77777777" w:rsidR="001B5305" w:rsidRPr="001B5305" w:rsidRDefault="001B5305" w:rsidP="001B5305">
      <w:pPr>
        <w:pStyle w:val="NoSpacing"/>
        <w:numPr>
          <w:ilvl w:val="0"/>
          <w:numId w:val="18"/>
        </w:numPr>
        <w:rPr>
          <w:rFonts w:ascii="Arial" w:hAnsi="Arial" w:cs="Arial"/>
          <w:lang w:val="fr-CA"/>
        </w:rPr>
      </w:pPr>
      <w:r w:rsidRPr="001B5305">
        <w:rPr>
          <w:rFonts w:ascii="Arial" w:hAnsi="Arial" w:cs="Arial"/>
          <w:lang w:val="fr-CA"/>
        </w:rPr>
        <w:t>Pour les appels faisant partis des instances générales, la date quand les parties ont déterminés la date pour l’audience</w:t>
      </w:r>
    </w:p>
    <w:p w14:paraId="6C52CA62" w14:textId="77777777" w:rsidR="00AF7B8B" w:rsidRPr="005B6CB2" w:rsidRDefault="00AF7B8B" w:rsidP="006E4390">
      <w:pPr>
        <w:pStyle w:val="NoSpacing"/>
        <w:rPr>
          <w:rFonts w:ascii="Arial" w:hAnsi="Arial" w:cs="Arial"/>
          <w:lang w:val="fr-CA"/>
        </w:rPr>
      </w:pPr>
    </w:p>
    <w:p w14:paraId="3F2B097D" w14:textId="77777777" w:rsidR="00E33C20" w:rsidRPr="005B6CB2" w:rsidRDefault="000968EF" w:rsidP="006E4390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La</w:t>
      </w:r>
      <w:r w:rsidRPr="005B6CB2">
        <w:rPr>
          <w:rFonts w:ascii="Arial" w:hAnsi="Arial" w:cs="Arial"/>
          <w:lang w:val="fr-CA"/>
        </w:rPr>
        <w:t xml:space="preserve"> </w:t>
      </w:r>
      <w:r w:rsidR="00C237F3">
        <w:rPr>
          <w:rFonts w:ascii="Arial" w:hAnsi="Arial" w:cs="Arial"/>
          <w:lang w:val="fr-CA"/>
        </w:rPr>
        <w:t>CRÉF</w:t>
      </w:r>
      <w:r w:rsidR="00680B9F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vous fera savoir si l’</w:t>
      </w:r>
      <w:r w:rsidR="001E4A31">
        <w:rPr>
          <w:rFonts w:ascii="Arial" w:hAnsi="Arial" w:cs="Arial"/>
          <w:lang w:val="fr-CA"/>
        </w:rPr>
        <w:t>ajournement</w:t>
      </w:r>
      <w:r w:rsidR="00680B9F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e</w:t>
      </w:r>
      <w:r w:rsidR="00680B9F" w:rsidRPr="005B6CB2">
        <w:rPr>
          <w:rFonts w:ascii="Arial" w:hAnsi="Arial" w:cs="Arial"/>
          <w:lang w:val="fr-CA"/>
        </w:rPr>
        <w:t>s</w:t>
      </w:r>
      <w:r>
        <w:rPr>
          <w:rFonts w:ascii="Arial" w:hAnsi="Arial" w:cs="Arial"/>
          <w:lang w:val="fr-CA"/>
        </w:rPr>
        <w:t>t accordé ou s’il est nécessaire de présenter une motion. Pour obtenir des renseignements plus détaillés au sujet des motions, consultez la f</w:t>
      </w:r>
      <w:r w:rsidR="00EE0481">
        <w:rPr>
          <w:rFonts w:ascii="Arial" w:hAnsi="Arial" w:cs="Arial"/>
          <w:lang w:val="fr-CA"/>
        </w:rPr>
        <w:t>euille</w:t>
      </w:r>
      <w:r>
        <w:rPr>
          <w:rFonts w:ascii="Arial" w:hAnsi="Arial" w:cs="Arial"/>
          <w:lang w:val="fr-CA"/>
        </w:rPr>
        <w:t xml:space="preserve"> d’information sur les motions, en cliquant </w:t>
      </w:r>
      <w:hyperlink r:id="rId11" w:history="1">
        <w:r w:rsidR="006F0FC4" w:rsidRPr="005B6CB2">
          <w:rPr>
            <w:rStyle w:val="Hyperlink"/>
            <w:sz w:val="24"/>
            <w:szCs w:val="24"/>
            <w:lang w:val="fr-CA"/>
          </w:rPr>
          <w:t>ici</w:t>
        </w:r>
        <w:r w:rsidRPr="005B6CB2">
          <w:rPr>
            <w:rStyle w:val="Hyperlink"/>
            <w:sz w:val="24"/>
            <w:szCs w:val="24"/>
            <w:lang w:val="fr-CA"/>
          </w:rPr>
          <w:t>.</w:t>
        </w:r>
      </w:hyperlink>
    </w:p>
    <w:p w14:paraId="7117CBDC" w14:textId="77777777" w:rsidR="008E7E43" w:rsidRPr="005B6CB2" w:rsidRDefault="008E7E43" w:rsidP="006E4390">
      <w:pPr>
        <w:pStyle w:val="NoSpacing"/>
        <w:rPr>
          <w:rFonts w:ascii="Arial" w:hAnsi="Arial" w:cs="Arial"/>
          <w:lang w:val="fr-CA"/>
        </w:rPr>
      </w:pPr>
    </w:p>
    <w:bookmarkEnd w:id="0"/>
    <w:p w14:paraId="38F4B3C1" w14:textId="03C86DFD" w:rsidR="00696CFC" w:rsidRPr="005B6CB2" w:rsidRDefault="000968EF" w:rsidP="006E4390">
      <w:pPr>
        <w:pStyle w:val="NoSpacing"/>
        <w:rPr>
          <w:rStyle w:val="Emphasis"/>
          <w:sz w:val="28"/>
          <w:szCs w:val="28"/>
          <w:lang w:val="fr-CA"/>
        </w:rPr>
      </w:pPr>
      <w:r>
        <w:rPr>
          <w:rStyle w:val="Emphasis"/>
          <w:sz w:val="28"/>
          <w:szCs w:val="28"/>
          <w:lang w:val="fr-CA"/>
        </w:rPr>
        <w:t xml:space="preserve">Comment la </w:t>
      </w:r>
      <w:r w:rsidR="00C237F3">
        <w:rPr>
          <w:rStyle w:val="Emphasis"/>
          <w:sz w:val="28"/>
          <w:szCs w:val="28"/>
          <w:lang w:val="fr-CA"/>
        </w:rPr>
        <w:t>CRÉF</w:t>
      </w:r>
      <w:r w:rsidR="00F90973" w:rsidRPr="005B6CB2">
        <w:rPr>
          <w:rStyle w:val="Emphasis"/>
          <w:sz w:val="28"/>
          <w:szCs w:val="28"/>
          <w:lang w:val="fr-CA"/>
        </w:rPr>
        <w:t xml:space="preserve"> </w:t>
      </w:r>
      <w:r>
        <w:rPr>
          <w:rStyle w:val="Emphasis"/>
          <w:sz w:val="28"/>
          <w:szCs w:val="28"/>
          <w:lang w:val="fr-CA"/>
        </w:rPr>
        <w:t>tranche-t-elle ma demande visant à ajourner une audience</w:t>
      </w:r>
      <w:r w:rsidR="00C83FCA">
        <w:rPr>
          <w:rStyle w:val="Emphasis"/>
          <w:sz w:val="28"/>
          <w:szCs w:val="28"/>
          <w:lang w:val="fr-CA"/>
        </w:rPr>
        <w:t xml:space="preserve"> </w:t>
      </w:r>
      <w:r>
        <w:rPr>
          <w:rStyle w:val="Emphasis"/>
          <w:sz w:val="28"/>
          <w:szCs w:val="28"/>
          <w:lang w:val="fr-CA"/>
        </w:rPr>
        <w:t>?</w:t>
      </w:r>
    </w:p>
    <w:p w14:paraId="1EA0BE45" w14:textId="77777777" w:rsidR="00FC4258" w:rsidRPr="005B6CB2" w:rsidRDefault="00FC4258" w:rsidP="006E4390">
      <w:pPr>
        <w:pStyle w:val="NoSpacing"/>
        <w:rPr>
          <w:rFonts w:ascii="Arial" w:hAnsi="Arial" w:cs="Arial"/>
          <w:lang w:val="fr-CA"/>
        </w:rPr>
      </w:pPr>
    </w:p>
    <w:p w14:paraId="17B017AA" w14:textId="77777777" w:rsidR="00BE56BE" w:rsidRPr="005B6CB2" w:rsidRDefault="000968EF" w:rsidP="006E4390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lastRenderedPageBreak/>
        <w:t xml:space="preserve">Selon les </w:t>
      </w:r>
      <w:r w:rsidR="006F0FC4" w:rsidRPr="005B6CB2">
        <w:rPr>
          <w:rFonts w:ascii="Arial" w:hAnsi="Arial" w:cs="Arial"/>
          <w:i/>
          <w:lang w:val="fr-CA"/>
        </w:rPr>
        <w:t>Règles de pratique</w:t>
      </w:r>
      <w:r w:rsidRPr="005B6CB2">
        <w:rPr>
          <w:rFonts w:ascii="Arial" w:hAnsi="Arial" w:cs="Arial"/>
          <w:i/>
          <w:lang w:val="fr-CA"/>
        </w:rPr>
        <w:t xml:space="preserve"> et de procédure</w:t>
      </w:r>
      <w:r>
        <w:rPr>
          <w:rFonts w:ascii="Arial" w:hAnsi="Arial" w:cs="Arial"/>
          <w:lang w:val="fr-CA"/>
        </w:rPr>
        <w:t xml:space="preserve"> </w:t>
      </w:r>
      <w:r w:rsidR="004301E6">
        <w:rPr>
          <w:rFonts w:ascii="Arial" w:hAnsi="Arial" w:cs="Arial"/>
          <w:lang w:val="fr-CA"/>
        </w:rPr>
        <w:t>de l</w:t>
      </w:r>
      <w:r>
        <w:rPr>
          <w:rFonts w:ascii="Arial" w:hAnsi="Arial" w:cs="Arial"/>
          <w:lang w:val="fr-CA"/>
        </w:rPr>
        <w:t>a</w:t>
      </w:r>
      <w:r w:rsidR="00EA05F7" w:rsidRPr="005B6CB2">
        <w:rPr>
          <w:rFonts w:ascii="Arial" w:hAnsi="Arial" w:cs="Arial"/>
          <w:lang w:val="fr-CA"/>
        </w:rPr>
        <w:t xml:space="preserve"> </w:t>
      </w:r>
      <w:r w:rsidR="00C237F3">
        <w:rPr>
          <w:rFonts w:ascii="Arial" w:hAnsi="Arial" w:cs="Arial"/>
          <w:lang w:val="fr-CA"/>
        </w:rPr>
        <w:t>CRÉF</w:t>
      </w:r>
      <w:r w:rsidR="004301E6">
        <w:rPr>
          <w:rFonts w:ascii="Arial" w:hAnsi="Arial" w:cs="Arial"/>
          <w:lang w:val="fr-CA"/>
        </w:rPr>
        <w:t>, la Commission doit tenir compte des facteurs suivants avant d’accorder un ajournement :</w:t>
      </w:r>
    </w:p>
    <w:p w14:paraId="598889E1" w14:textId="77777777" w:rsidR="00680B9F" w:rsidRPr="005B6CB2" w:rsidRDefault="00680B9F" w:rsidP="006E4390">
      <w:pPr>
        <w:pStyle w:val="NoSpacing"/>
        <w:rPr>
          <w:rFonts w:ascii="Arial" w:hAnsi="Arial" w:cs="Arial"/>
          <w:lang w:val="fr-CA"/>
        </w:rPr>
      </w:pPr>
    </w:p>
    <w:p w14:paraId="661E749F" w14:textId="77777777" w:rsidR="00680B9F" w:rsidRPr="005B6CB2" w:rsidRDefault="004301E6" w:rsidP="006E4390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les</w:t>
      </w:r>
      <w:proofErr w:type="gramEnd"/>
      <w:r>
        <w:rPr>
          <w:rFonts w:ascii="Arial" w:hAnsi="Arial" w:cs="Arial"/>
          <w:lang w:val="fr-CA"/>
        </w:rPr>
        <w:t xml:space="preserve"> intérêts des parties à obtenir une audience complète et équitable;</w:t>
      </w:r>
    </w:p>
    <w:p w14:paraId="396CE994" w14:textId="77777777" w:rsidR="00680B9F" w:rsidRPr="005B6CB2" w:rsidRDefault="004301E6" w:rsidP="006E4390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l’</w:t>
      </w:r>
      <w:r w:rsidR="00680B9F" w:rsidRPr="005B6CB2">
        <w:rPr>
          <w:rFonts w:ascii="Arial" w:hAnsi="Arial" w:cs="Arial"/>
          <w:lang w:val="fr-CA"/>
        </w:rPr>
        <w:t>impact</w:t>
      </w:r>
      <w:proofErr w:type="gramEnd"/>
      <w:r w:rsidR="00680B9F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de l’</w:t>
      </w:r>
      <w:r w:rsidR="001E4A31">
        <w:rPr>
          <w:rFonts w:ascii="Arial" w:hAnsi="Arial" w:cs="Arial"/>
          <w:lang w:val="fr-CA"/>
        </w:rPr>
        <w:t>ajournement</w:t>
      </w:r>
      <w:r w:rsidR="00680B9F" w:rsidRPr="005B6CB2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sur les</w:t>
      </w:r>
      <w:r w:rsidR="00680B9F" w:rsidRPr="005B6CB2">
        <w:rPr>
          <w:rFonts w:ascii="Arial" w:hAnsi="Arial" w:cs="Arial"/>
          <w:lang w:val="fr-CA"/>
        </w:rPr>
        <w:t xml:space="preserve"> parties </w:t>
      </w:r>
      <w:r>
        <w:rPr>
          <w:rFonts w:ascii="Arial" w:hAnsi="Arial" w:cs="Arial"/>
          <w:lang w:val="fr-CA"/>
        </w:rPr>
        <w:t>et sur d’autres personnes;</w:t>
      </w:r>
    </w:p>
    <w:p w14:paraId="2249A93C" w14:textId="77777777" w:rsidR="00B928C2" w:rsidRDefault="004301E6" w:rsidP="006E4390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l’intégrité</w:t>
      </w:r>
      <w:proofErr w:type="gramEnd"/>
      <w:r>
        <w:rPr>
          <w:rFonts w:ascii="Arial" w:hAnsi="Arial" w:cs="Arial"/>
          <w:lang w:val="fr-CA"/>
        </w:rPr>
        <w:t xml:space="preserve"> du processus de la Commission, y compris la capacité de la Commission de régler efficacement tous les appels déposés auprès de la Commission dans le cycle actuel de quatre ans;</w:t>
      </w:r>
      <w:r w:rsidR="00B928C2" w:rsidRPr="000426E5" w:rsidDel="00B928C2">
        <w:rPr>
          <w:rFonts w:ascii="Arial" w:hAnsi="Arial" w:cs="Arial"/>
          <w:lang w:val="fr-CA"/>
        </w:rPr>
        <w:t xml:space="preserve"> </w:t>
      </w:r>
    </w:p>
    <w:p w14:paraId="7EEE2DCC" w14:textId="77777777" w:rsidR="00680B9F" w:rsidRPr="005B6CB2" w:rsidRDefault="00B928C2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les</w:t>
      </w:r>
      <w:proofErr w:type="gramEnd"/>
      <w:r>
        <w:rPr>
          <w:rFonts w:ascii="Arial" w:hAnsi="Arial" w:cs="Arial"/>
          <w:lang w:val="fr-CA"/>
        </w:rPr>
        <w:t xml:space="preserve"> circonstances donnant lieu à la nécessité d’un </w:t>
      </w:r>
      <w:r w:rsidR="001E4A31">
        <w:rPr>
          <w:rFonts w:ascii="Arial" w:hAnsi="Arial" w:cs="Arial"/>
          <w:lang w:val="fr-CA"/>
        </w:rPr>
        <w:t>ajournement</w:t>
      </w:r>
      <w:r w:rsidR="00680B9F" w:rsidRPr="005B6CB2">
        <w:rPr>
          <w:rFonts w:ascii="Arial" w:hAnsi="Arial" w:cs="Arial"/>
          <w:lang w:val="fr-CA"/>
        </w:rPr>
        <w:t>;</w:t>
      </w:r>
    </w:p>
    <w:p w14:paraId="125FE47F" w14:textId="77777777" w:rsidR="00680B9F" w:rsidRPr="005B6CB2" w:rsidRDefault="00B928C2" w:rsidP="006E4390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l’opportunité</w:t>
      </w:r>
      <w:proofErr w:type="gramEnd"/>
      <w:r>
        <w:rPr>
          <w:rFonts w:ascii="Arial" w:hAnsi="Arial" w:cs="Arial"/>
          <w:lang w:val="fr-CA"/>
        </w:rPr>
        <w:t xml:space="preserve"> de la demande d’ajournement;</w:t>
      </w:r>
    </w:p>
    <w:p w14:paraId="03CD9982" w14:textId="77777777" w:rsidR="00680B9F" w:rsidRPr="005B6CB2" w:rsidRDefault="00B928C2" w:rsidP="006E4390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la</w:t>
      </w:r>
      <w:proofErr w:type="gramEnd"/>
      <w:r w:rsidR="00680B9F" w:rsidRPr="005B6CB2">
        <w:rPr>
          <w:rFonts w:ascii="Arial" w:hAnsi="Arial" w:cs="Arial"/>
          <w:lang w:val="fr-CA"/>
        </w:rPr>
        <w:t xml:space="preserve"> position </w:t>
      </w:r>
      <w:r>
        <w:rPr>
          <w:rFonts w:ascii="Arial" w:hAnsi="Arial" w:cs="Arial"/>
          <w:lang w:val="fr-CA"/>
        </w:rPr>
        <w:t>des autres parties;</w:t>
      </w:r>
    </w:p>
    <w:p w14:paraId="0186BAA4" w14:textId="77777777" w:rsidR="00680B9F" w:rsidRPr="005B6CB2" w:rsidRDefault="00B928C2" w:rsidP="006E4390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le</w:t>
      </w:r>
      <w:proofErr w:type="gramEnd"/>
      <w:r>
        <w:rPr>
          <w:rFonts w:ascii="Arial" w:hAnsi="Arial" w:cs="Arial"/>
          <w:lang w:val="fr-CA"/>
        </w:rPr>
        <w:t xml:space="preserve"> fait qu’il est dans l’intérêt public que la Commission fournisse ses services de façon juste, opportune et rentable;</w:t>
      </w:r>
    </w:p>
    <w:p w14:paraId="28B2D1B6" w14:textId="77777777" w:rsidR="00680B9F" w:rsidRPr="005B6CB2" w:rsidRDefault="00B928C2" w:rsidP="006E4390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toute</w:t>
      </w:r>
      <w:proofErr w:type="gramEnd"/>
      <w:r>
        <w:rPr>
          <w:rFonts w:ascii="Arial" w:hAnsi="Arial" w:cs="Arial"/>
          <w:lang w:val="fr-CA"/>
        </w:rPr>
        <w:t xml:space="preserve"> directive de pratique donnée par la Commission.</w:t>
      </w:r>
    </w:p>
    <w:p w14:paraId="6F240C6E" w14:textId="77777777" w:rsidR="00BE56BE" w:rsidRPr="005B6CB2" w:rsidRDefault="00BE56BE" w:rsidP="006E4390">
      <w:pPr>
        <w:pStyle w:val="NoSpacing"/>
        <w:rPr>
          <w:rFonts w:ascii="Arial" w:hAnsi="Arial" w:cs="Arial"/>
          <w:lang w:val="fr-CA"/>
        </w:rPr>
      </w:pPr>
    </w:p>
    <w:p w14:paraId="54FDD115" w14:textId="3B30284D" w:rsidR="00696CFC" w:rsidRPr="005B6CB2" w:rsidRDefault="00F921CB" w:rsidP="006E4390">
      <w:pPr>
        <w:pStyle w:val="NoSpacing"/>
        <w:rPr>
          <w:rStyle w:val="Emphasis"/>
          <w:sz w:val="28"/>
          <w:szCs w:val="28"/>
          <w:lang w:val="fr-CA"/>
        </w:rPr>
      </w:pPr>
      <w:r>
        <w:rPr>
          <w:rStyle w:val="Emphasis"/>
          <w:sz w:val="28"/>
          <w:szCs w:val="28"/>
          <w:lang w:val="fr-CA"/>
        </w:rPr>
        <w:t>Que se passe-t-il une fois que j’ai présenté ma demande d’</w:t>
      </w:r>
      <w:r w:rsidR="008833CF" w:rsidRPr="005B6CB2">
        <w:rPr>
          <w:rStyle w:val="Emphasis"/>
          <w:sz w:val="28"/>
          <w:szCs w:val="28"/>
          <w:lang w:val="fr-CA"/>
        </w:rPr>
        <w:t>ajourn</w:t>
      </w:r>
      <w:r>
        <w:rPr>
          <w:rStyle w:val="Emphasis"/>
          <w:sz w:val="28"/>
          <w:szCs w:val="28"/>
          <w:lang w:val="fr-CA"/>
        </w:rPr>
        <w:t>ement</w:t>
      </w:r>
      <w:r w:rsidR="00C83FCA">
        <w:rPr>
          <w:rStyle w:val="Emphasis"/>
          <w:sz w:val="28"/>
          <w:szCs w:val="28"/>
          <w:lang w:val="fr-CA"/>
        </w:rPr>
        <w:t xml:space="preserve"> </w:t>
      </w:r>
      <w:r w:rsidR="008833CF" w:rsidRPr="005B6CB2">
        <w:rPr>
          <w:rStyle w:val="Emphasis"/>
          <w:sz w:val="28"/>
          <w:szCs w:val="28"/>
          <w:lang w:val="fr-CA"/>
        </w:rPr>
        <w:t>?</w:t>
      </w:r>
    </w:p>
    <w:p w14:paraId="284AF144" w14:textId="77777777" w:rsidR="00FC4258" w:rsidRPr="005B6CB2" w:rsidRDefault="00FC4258" w:rsidP="006E4390">
      <w:pPr>
        <w:pStyle w:val="NoSpacing"/>
        <w:rPr>
          <w:rFonts w:ascii="Arial" w:hAnsi="Arial" w:cs="Arial"/>
          <w:lang w:val="fr-CA"/>
        </w:rPr>
      </w:pPr>
    </w:p>
    <w:p w14:paraId="5E1680FD" w14:textId="77777777" w:rsidR="00EC3C89" w:rsidRPr="005B6CB2" w:rsidRDefault="00F921CB" w:rsidP="006E4390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Si la</w:t>
      </w:r>
      <w:r w:rsidR="00EC3C89" w:rsidRPr="005B6CB2">
        <w:rPr>
          <w:rFonts w:ascii="Arial" w:hAnsi="Arial" w:cs="Arial"/>
          <w:lang w:val="fr-CA"/>
        </w:rPr>
        <w:t xml:space="preserve"> </w:t>
      </w:r>
      <w:r w:rsidR="00C237F3">
        <w:rPr>
          <w:rFonts w:ascii="Arial" w:hAnsi="Arial" w:cs="Arial"/>
          <w:lang w:val="fr-CA"/>
        </w:rPr>
        <w:t>CRÉF</w:t>
      </w:r>
      <w:r w:rsidR="007C4759" w:rsidRPr="005B6CB2">
        <w:rPr>
          <w:rFonts w:ascii="Arial" w:hAnsi="Arial" w:cs="Arial"/>
          <w:lang w:val="fr-CA"/>
        </w:rPr>
        <w:t xml:space="preserve"> </w:t>
      </w:r>
      <w:r w:rsidR="008748BE" w:rsidRPr="005B6CB2">
        <w:rPr>
          <w:rFonts w:ascii="Arial" w:hAnsi="Arial" w:cs="Arial"/>
          <w:lang w:val="fr-CA"/>
        </w:rPr>
        <w:t>d</w:t>
      </w:r>
      <w:r>
        <w:rPr>
          <w:rFonts w:ascii="Arial" w:hAnsi="Arial" w:cs="Arial"/>
          <w:lang w:val="fr-CA"/>
        </w:rPr>
        <w:t>é</w:t>
      </w:r>
      <w:r w:rsidR="008748BE" w:rsidRPr="005B6CB2">
        <w:rPr>
          <w:rFonts w:ascii="Arial" w:hAnsi="Arial" w:cs="Arial"/>
          <w:lang w:val="fr-CA"/>
        </w:rPr>
        <w:t>cide</w:t>
      </w:r>
      <w:r>
        <w:rPr>
          <w:rFonts w:ascii="Arial" w:hAnsi="Arial" w:cs="Arial"/>
          <w:lang w:val="fr-CA"/>
        </w:rPr>
        <w:t xml:space="preserve"> d’accorder un </w:t>
      </w:r>
      <w:r w:rsidR="001E4A31">
        <w:rPr>
          <w:rFonts w:ascii="Arial" w:hAnsi="Arial" w:cs="Arial"/>
          <w:lang w:val="fr-CA"/>
        </w:rPr>
        <w:t>ajournement</w:t>
      </w:r>
      <w:r w:rsidR="008748BE" w:rsidRPr="005B6CB2">
        <w:rPr>
          <w:rFonts w:ascii="Arial" w:hAnsi="Arial" w:cs="Arial"/>
          <w:lang w:val="fr-CA"/>
        </w:rPr>
        <w:t xml:space="preserve">, </w:t>
      </w:r>
      <w:r>
        <w:rPr>
          <w:rFonts w:ascii="Arial" w:hAnsi="Arial" w:cs="Arial"/>
          <w:lang w:val="fr-CA"/>
        </w:rPr>
        <w:t>elle pourra imposer les conditions qu’elle juge appropriées.</w:t>
      </w:r>
      <w:r w:rsidR="008748BE" w:rsidRPr="005B6CB2">
        <w:rPr>
          <w:rFonts w:ascii="Arial" w:hAnsi="Arial" w:cs="Arial"/>
          <w:lang w:val="fr-CA"/>
        </w:rPr>
        <w:t xml:space="preserve"> </w:t>
      </w:r>
    </w:p>
    <w:p w14:paraId="205F4819" w14:textId="77777777" w:rsidR="00FC4258" w:rsidRPr="005B6CB2" w:rsidRDefault="00FC4258" w:rsidP="006E4390">
      <w:pPr>
        <w:pStyle w:val="NoSpacing"/>
        <w:rPr>
          <w:rFonts w:ascii="Arial" w:hAnsi="Arial" w:cs="Arial"/>
          <w:lang w:val="fr-CA"/>
        </w:rPr>
      </w:pPr>
    </w:p>
    <w:p w14:paraId="025DA6ED" w14:textId="4186DDF3" w:rsidR="00F96C02" w:rsidRPr="005B6CB2" w:rsidRDefault="00F921CB" w:rsidP="006E4390">
      <w:pPr>
        <w:pStyle w:val="Heading1"/>
        <w:jc w:val="left"/>
        <w:rPr>
          <w:b w:val="0"/>
          <w:bCs w:val="0"/>
          <w:lang w:val="fr-CA"/>
        </w:rPr>
      </w:pPr>
      <w:r>
        <w:rPr>
          <w:sz w:val="28"/>
          <w:lang w:val="fr-CA"/>
        </w:rPr>
        <w:t>Où puis-je trouver des renseignements plus détaillés</w:t>
      </w:r>
      <w:r w:rsidR="00C83FCA">
        <w:rPr>
          <w:sz w:val="28"/>
          <w:lang w:val="fr-CA"/>
        </w:rPr>
        <w:t xml:space="preserve"> </w:t>
      </w:r>
      <w:r>
        <w:rPr>
          <w:sz w:val="28"/>
          <w:lang w:val="fr-CA"/>
        </w:rPr>
        <w:t>?</w:t>
      </w:r>
      <w:r w:rsidRPr="000426E5" w:rsidDel="00F921CB">
        <w:rPr>
          <w:sz w:val="28"/>
          <w:lang w:val="fr-CA"/>
        </w:rPr>
        <w:t xml:space="preserve"> </w:t>
      </w:r>
      <w:r w:rsidR="00F96C02" w:rsidRPr="005B6CB2">
        <w:rPr>
          <w:sz w:val="28"/>
          <w:lang w:val="fr-CA"/>
        </w:rPr>
        <w:br/>
      </w:r>
    </w:p>
    <w:p w14:paraId="7B81BA1C" w14:textId="3613D450" w:rsidR="00F96C02" w:rsidRDefault="00F921CB" w:rsidP="00DC2A64">
      <w:pPr>
        <w:pStyle w:val="Heading1"/>
        <w:jc w:val="left"/>
        <w:rPr>
          <w:b w:val="0"/>
          <w:lang w:val="fr-CA"/>
        </w:rPr>
      </w:pPr>
      <w:bookmarkStart w:id="1" w:name="_Hlk84496493"/>
      <w:r>
        <w:rPr>
          <w:b w:val="0"/>
          <w:lang w:val="fr-CA"/>
        </w:rPr>
        <w:t>P</w:t>
      </w:r>
      <w:r w:rsidR="00F96C02" w:rsidRPr="005B6CB2">
        <w:rPr>
          <w:b w:val="0"/>
          <w:lang w:val="fr-CA"/>
        </w:rPr>
        <w:t>o</w:t>
      </w:r>
      <w:r>
        <w:rPr>
          <w:b w:val="0"/>
          <w:lang w:val="fr-CA"/>
        </w:rPr>
        <w:t>u</w:t>
      </w:r>
      <w:r w:rsidR="00F96C02" w:rsidRPr="005B6CB2">
        <w:rPr>
          <w:b w:val="0"/>
          <w:lang w:val="fr-CA"/>
        </w:rPr>
        <w:t xml:space="preserve">r </w:t>
      </w:r>
      <w:r>
        <w:rPr>
          <w:b w:val="0"/>
          <w:lang w:val="fr-CA"/>
        </w:rPr>
        <w:t xml:space="preserve">obtenir des renseignements plus détaillés, veuillez consulter </w:t>
      </w:r>
      <w:r w:rsidRPr="006F0FC4">
        <w:rPr>
          <w:b w:val="0"/>
          <w:lang w:val="fr-CA"/>
        </w:rPr>
        <w:t>les</w:t>
      </w:r>
      <w:r w:rsidRPr="005B6CB2">
        <w:rPr>
          <w:b w:val="0"/>
          <w:i/>
          <w:lang w:val="fr-CA"/>
        </w:rPr>
        <w:t xml:space="preserve"> </w:t>
      </w:r>
      <w:r w:rsidR="006F0FC4">
        <w:rPr>
          <w:b w:val="0"/>
          <w:i/>
          <w:lang w:val="fr-CA"/>
        </w:rPr>
        <w:t>Règles de pratique</w:t>
      </w:r>
      <w:r w:rsidRPr="005B6CB2">
        <w:rPr>
          <w:b w:val="0"/>
          <w:i/>
          <w:lang w:val="fr-CA"/>
        </w:rPr>
        <w:t xml:space="preserve"> et de procédure</w:t>
      </w:r>
      <w:r>
        <w:rPr>
          <w:b w:val="0"/>
          <w:lang w:val="fr-CA"/>
        </w:rPr>
        <w:t xml:space="preserve"> de la </w:t>
      </w:r>
      <w:r w:rsidR="00C237F3">
        <w:rPr>
          <w:b w:val="0"/>
          <w:lang w:val="fr-CA"/>
        </w:rPr>
        <w:t>CRÉF</w:t>
      </w:r>
      <w:r w:rsidR="0052301A">
        <w:rPr>
          <w:b w:val="0"/>
          <w:lang w:val="fr-CA"/>
        </w:rPr>
        <w:t>, qui se trouve</w:t>
      </w:r>
      <w:r w:rsidR="006F0FC4">
        <w:rPr>
          <w:b w:val="0"/>
          <w:lang w:val="fr-CA"/>
        </w:rPr>
        <w:t>nt</w:t>
      </w:r>
      <w:r w:rsidR="0052301A">
        <w:rPr>
          <w:b w:val="0"/>
          <w:lang w:val="fr-CA"/>
        </w:rPr>
        <w:t xml:space="preserve"> dans </w:t>
      </w:r>
      <w:hyperlink r:id="rId12" w:history="1">
        <w:r w:rsidR="0052301A" w:rsidRPr="002B264D">
          <w:rPr>
            <w:rStyle w:val="Hyperlink"/>
            <w:b/>
            <w:sz w:val="24"/>
            <w:szCs w:val="24"/>
            <w:lang w:val="fr-CA"/>
          </w:rPr>
          <w:t>notre site Web</w:t>
        </w:r>
      </w:hyperlink>
      <w:r w:rsidR="0052301A">
        <w:rPr>
          <w:b w:val="0"/>
          <w:lang w:val="fr-CA"/>
        </w:rPr>
        <w:t>,</w:t>
      </w:r>
      <w:r w:rsidR="00F96C02" w:rsidRPr="005B6CB2">
        <w:rPr>
          <w:b w:val="0"/>
          <w:lang w:val="fr-CA"/>
        </w:rPr>
        <w:t xml:space="preserve"> o</w:t>
      </w:r>
      <w:r w:rsidR="0052301A">
        <w:rPr>
          <w:b w:val="0"/>
          <w:lang w:val="fr-CA"/>
        </w:rPr>
        <w:t xml:space="preserve">u nous </w:t>
      </w:r>
      <w:r w:rsidR="00DC2A64">
        <w:rPr>
          <w:b w:val="0"/>
          <w:lang w:val="fr-CA"/>
        </w:rPr>
        <w:t xml:space="preserve">envoyer un courriel à </w:t>
      </w:r>
      <w:hyperlink r:id="rId13" w:history="1">
        <w:r w:rsidR="00DC2A64" w:rsidRPr="00DC2A64">
          <w:rPr>
            <w:rStyle w:val="Hyperlink"/>
            <w:b/>
            <w:sz w:val="24"/>
            <w:szCs w:val="24"/>
            <w:lang w:val="fr-CA"/>
          </w:rPr>
          <w:t>arb.registrar@ontario.ca</w:t>
        </w:r>
      </w:hyperlink>
      <w:r w:rsidR="00DC2A64">
        <w:rPr>
          <w:b w:val="0"/>
          <w:lang w:val="fr-CA"/>
        </w:rPr>
        <w:t>.</w:t>
      </w:r>
    </w:p>
    <w:p w14:paraId="5829F48C" w14:textId="77777777" w:rsidR="00DC2A64" w:rsidRPr="00DC2A64" w:rsidRDefault="00DC2A64" w:rsidP="00DC2A64">
      <w:pPr>
        <w:rPr>
          <w:lang w:val="fr-CA"/>
        </w:rPr>
      </w:pPr>
    </w:p>
    <w:p w14:paraId="3ACDC0DA" w14:textId="51AEA745" w:rsidR="00F96C02" w:rsidRPr="005B6CB2" w:rsidRDefault="00DC2A64" w:rsidP="006E4390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Nous tenons à fournir les services que prévoit la </w:t>
      </w:r>
      <w:r>
        <w:rPr>
          <w:rFonts w:ascii="Arial" w:hAnsi="Arial" w:cs="Arial"/>
          <w:i/>
          <w:iCs/>
          <w:szCs w:val="20"/>
          <w:lang w:val="fr-CA"/>
        </w:rPr>
        <w:t xml:space="preserve">Loi de 2005 sur l’accessibilité pour les personnes handicapées de l’Ontario. </w:t>
      </w:r>
      <w:r>
        <w:rPr>
          <w:rFonts w:ascii="Arial" w:hAnsi="Arial" w:cs="Arial"/>
          <w:szCs w:val="20"/>
          <w:lang w:val="fr-CA"/>
        </w:rPr>
        <w:t>Si vous avez des besoins à cet égard, veuillez communiquer avec la Commission dès que possible.</w:t>
      </w:r>
    </w:p>
    <w:bookmarkEnd w:id="1"/>
    <w:p w14:paraId="026C4EA1" w14:textId="77777777" w:rsidR="006E4390" w:rsidRPr="005B6CB2" w:rsidRDefault="006E4390" w:rsidP="006E4390">
      <w:pPr>
        <w:rPr>
          <w:rFonts w:ascii="Arial" w:hAnsi="Arial" w:cs="Arial"/>
          <w:b/>
          <w:sz w:val="28"/>
          <w:szCs w:val="28"/>
          <w:lang w:val="fr-CA"/>
        </w:rPr>
      </w:pPr>
    </w:p>
    <w:p w14:paraId="10112B64" w14:textId="77777777" w:rsidR="00F96C02" w:rsidRPr="005B6CB2" w:rsidRDefault="009E3873" w:rsidP="006E4390">
      <w:pPr>
        <w:rPr>
          <w:rFonts w:ascii="Arial" w:hAnsi="Arial" w:cs="Arial"/>
          <w:sz w:val="28"/>
          <w:szCs w:val="28"/>
          <w:lang w:val="fr-CA" w:eastAsia="en-CA"/>
        </w:rPr>
      </w:pPr>
      <w:r>
        <w:rPr>
          <w:rFonts w:ascii="Arial" w:hAnsi="Arial" w:cs="Arial"/>
          <w:b/>
          <w:sz w:val="28"/>
          <w:szCs w:val="28"/>
          <w:lang w:val="fr-CA"/>
        </w:rPr>
        <w:t>Mise en garde</w:t>
      </w:r>
    </w:p>
    <w:p w14:paraId="7DBA57F2" w14:textId="77777777" w:rsidR="006E4390" w:rsidRPr="005B6CB2" w:rsidRDefault="006E4390" w:rsidP="006E4390">
      <w:pPr>
        <w:rPr>
          <w:rFonts w:ascii="Arial" w:hAnsi="Arial" w:cs="Arial"/>
          <w:lang w:val="fr-CA" w:eastAsia="en-CA"/>
        </w:rPr>
      </w:pPr>
    </w:p>
    <w:p w14:paraId="70CCCDBB" w14:textId="65876A3C" w:rsidR="00F96C02" w:rsidRDefault="009E3873" w:rsidP="006E4390">
      <w:pPr>
        <w:rPr>
          <w:rFonts w:ascii="Arial" w:hAnsi="Arial" w:cs="Arial"/>
          <w:lang w:val="fr-CA" w:eastAsia="en-CA"/>
        </w:rPr>
      </w:pPr>
      <w:bookmarkStart w:id="2" w:name="_Hlk84496501"/>
      <w:r>
        <w:rPr>
          <w:rFonts w:ascii="Arial" w:hAnsi="Arial" w:cs="Arial"/>
          <w:lang w:val="fr-CA" w:eastAsia="en-CA"/>
        </w:rPr>
        <w:t xml:space="preserve">Les </w:t>
      </w:r>
      <w:r w:rsidR="006F0FC4">
        <w:rPr>
          <w:rFonts w:ascii="Arial" w:hAnsi="Arial" w:cs="Arial"/>
          <w:lang w:val="fr-CA" w:eastAsia="en-CA"/>
        </w:rPr>
        <w:t>renseignements figurant ci-dess</w:t>
      </w:r>
      <w:r>
        <w:rPr>
          <w:rFonts w:ascii="Arial" w:hAnsi="Arial" w:cs="Arial"/>
          <w:lang w:val="fr-CA" w:eastAsia="en-CA"/>
        </w:rPr>
        <w:t xml:space="preserve">us ne </w:t>
      </w:r>
      <w:r w:rsidR="006F0FC4">
        <w:rPr>
          <w:rFonts w:ascii="Arial" w:hAnsi="Arial" w:cs="Arial"/>
          <w:lang w:val="fr-CA" w:eastAsia="en-CA"/>
        </w:rPr>
        <w:t>constituent pas des</w:t>
      </w:r>
      <w:r>
        <w:rPr>
          <w:rFonts w:ascii="Arial" w:hAnsi="Arial" w:cs="Arial"/>
          <w:lang w:val="fr-CA" w:eastAsia="en-CA"/>
        </w:rPr>
        <w:t xml:space="preserve"> conseils, juridiques ou autres; la </w:t>
      </w:r>
      <w:r w:rsidR="00C237F3">
        <w:rPr>
          <w:rFonts w:ascii="Arial" w:hAnsi="Arial" w:cs="Arial"/>
          <w:lang w:val="fr-CA" w:eastAsia="en-CA"/>
        </w:rPr>
        <w:t>CRÉF</w:t>
      </w:r>
      <w:r w:rsidR="00F96C02" w:rsidRPr="005B6CB2">
        <w:rPr>
          <w:rFonts w:ascii="Arial" w:hAnsi="Arial" w:cs="Arial"/>
          <w:lang w:val="fr-CA" w:eastAsia="en-CA"/>
        </w:rPr>
        <w:t xml:space="preserve"> </w:t>
      </w:r>
      <w:r>
        <w:rPr>
          <w:rFonts w:ascii="Arial" w:hAnsi="Arial" w:cs="Arial"/>
          <w:lang w:val="fr-CA" w:eastAsia="en-CA"/>
        </w:rPr>
        <w:t xml:space="preserve">n’est nullement responsable des erreurs ou </w:t>
      </w:r>
      <w:r w:rsidR="00751AC9">
        <w:rPr>
          <w:rFonts w:ascii="Arial" w:hAnsi="Arial" w:cs="Arial"/>
          <w:lang w:val="fr-CA" w:eastAsia="en-CA"/>
        </w:rPr>
        <w:t>om</w:t>
      </w:r>
      <w:r w:rsidR="005B67A1">
        <w:rPr>
          <w:rFonts w:ascii="Arial" w:hAnsi="Arial" w:cs="Arial"/>
          <w:lang w:val="fr-CA" w:eastAsia="en-CA"/>
        </w:rPr>
        <w:t>issions qu</w:t>
      </w:r>
      <w:r>
        <w:rPr>
          <w:rFonts w:ascii="Arial" w:hAnsi="Arial" w:cs="Arial"/>
          <w:lang w:val="fr-CA" w:eastAsia="en-CA"/>
        </w:rPr>
        <w:t>e</w:t>
      </w:r>
      <w:r w:rsidR="005B67A1">
        <w:rPr>
          <w:rFonts w:ascii="Arial" w:hAnsi="Arial" w:cs="Arial"/>
          <w:lang w:val="fr-CA" w:eastAsia="en-CA"/>
        </w:rPr>
        <w:t xml:space="preserve"> le présent document pourrait comporter</w:t>
      </w:r>
      <w:r w:rsidR="00751AC9">
        <w:rPr>
          <w:rFonts w:ascii="Arial" w:hAnsi="Arial" w:cs="Arial"/>
          <w:lang w:val="fr-CA" w:eastAsia="en-CA"/>
        </w:rPr>
        <w:t xml:space="preserve">, ni de l’utilisation des renseignements </w:t>
      </w:r>
      <w:r w:rsidR="005B67A1">
        <w:rPr>
          <w:rFonts w:ascii="Arial" w:hAnsi="Arial" w:cs="Arial"/>
          <w:lang w:val="fr-CA" w:eastAsia="en-CA"/>
        </w:rPr>
        <w:t>qui s’y trouvent.</w:t>
      </w:r>
      <w:r w:rsidR="00751AC9">
        <w:rPr>
          <w:rFonts w:ascii="Arial" w:hAnsi="Arial" w:cs="Arial"/>
          <w:lang w:val="fr-CA" w:eastAsia="en-CA"/>
        </w:rPr>
        <w:t xml:space="preserve"> Il est possible d’obtenir des renseignements supplémentaires, y compris les </w:t>
      </w:r>
      <w:r w:rsidR="006F0FC4" w:rsidRPr="005B6CB2">
        <w:rPr>
          <w:rFonts w:ascii="Arial" w:hAnsi="Arial" w:cs="Arial"/>
          <w:i/>
          <w:lang w:val="fr-CA" w:eastAsia="en-CA"/>
        </w:rPr>
        <w:t>Règles de pratique</w:t>
      </w:r>
      <w:r w:rsidR="00751AC9" w:rsidRPr="005B6CB2">
        <w:rPr>
          <w:rFonts w:ascii="Arial" w:hAnsi="Arial" w:cs="Arial"/>
          <w:i/>
          <w:lang w:val="fr-CA" w:eastAsia="en-CA"/>
        </w:rPr>
        <w:t xml:space="preserve"> et de procédure</w:t>
      </w:r>
      <w:r w:rsidR="00751AC9">
        <w:rPr>
          <w:rFonts w:ascii="Arial" w:hAnsi="Arial" w:cs="Arial"/>
          <w:lang w:val="fr-CA" w:eastAsia="en-CA"/>
        </w:rPr>
        <w:t xml:space="preserve"> de la </w:t>
      </w:r>
      <w:r w:rsidR="00C237F3">
        <w:rPr>
          <w:rFonts w:ascii="Arial" w:hAnsi="Arial" w:cs="Arial"/>
          <w:lang w:val="fr-CA" w:eastAsia="en-CA"/>
        </w:rPr>
        <w:t>CRÉF</w:t>
      </w:r>
      <w:r w:rsidR="00751AC9">
        <w:rPr>
          <w:rFonts w:ascii="Arial" w:hAnsi="Arial" w:cs="Arial"/>
          <w:lang w:val="fr-CA" w:eastAsia="en-CA"/>
        </w:rPr>
        <w:t>, en consultant le site</w:t>
      </w:r>
      <w:r w:rsidR="00627CD0">
        <w:rPr>
          <w:rFonts w:ascii="Arial" w:hAnsi="Arial" w:cs="Arial"/>
          <w:lang w:val="fr-CA" w:eastAsia="en-CA"/>
        </w:rPr>
        <w:t xml:space="preserve"> Web</w:t>
      </w:r>
      <w:r w:rsidR="00751AC9">
        <w:rPr>
          <w:rFonts w:ascii="Arial" w:hAnsi="Arial" w:cs="Arial"/>
          <w:lang w:val="fr-CA" w:eastAsia="en-CA"/>
        </w:rPr>
        <w:t xml:space="preserve"> de celle-ci, à </w:t>
      </w:r>
      <w:hyperlink r:id="rId14" w:history="1">
        <w:r w:rsidR="00C83FCA" w:rsidRPr="00C83FCA">
          <w:rPr>
            <w:rStyle w:val="Hyperlink"/>
            <w:sz w:val="24"/>
            <w:szCs w:val="24"/>
            <w:lang w:val="fr-CA"/>
          </w:rPr>
          <w:t>http://tribunalsontario.ca/cref/</w:t>
        </w:r>
      </w:hyperlink>
      <w:r w:rsidR="00F96C02" w:rsidRPr="005B6CB2">
        <w:rPr>
          <w:rFonts w:ascii="Arial" w:hAnsi="Arial" w:cs="Arial"/>
          <w:lang w:val="fr-CA" w:eastAsia="en-CA"/>
        </w:rPr>
        <w:t>, o</w:t>
      </w:r>
      <w:r w:rsidR="00751AC9">
        <w:rPr>
          <w:rFonts w:ascii="Arial" w:hAnsi="Arial" w:cs="Arial"/>
          <w:lang w:val="fr-CA" w:eastAsia="en-CA"/>
        </w:rPr>
        <w:t xml:space="preserve">u en </w:t>
      </w:r>
      <w:r w:rsidR="00BA27A0">
        <w:rPr>
          <w:rFonts w:ascii="Arial" w:hAnsi="Arial" w:cs="Arial"/>
          <w:lang w:val="fr-CA" w:eastAsia="en-CA"/>
        </w:rPr>
        <w:t xml:space="preserve">envoyant un courriel à </w:t>
      </w:r>
      <w:hyperlink r:id="rId15" w:history="1">
        <w:r w:rsidR="00026BCA" w:rsidRPr="002D62D3">
          <w:rPr>
            <w:rStyle w:val="Hyperlink"/>
            <w:sz w:val="24"/>
            <w:szCs w:val="24"/>
            <w:lang w:val="fr-CA" w:eastAsia="en-CA"/>
          </w:rPr>
          <w:t>arb.registrar@ontario.ca</w:t>
        </w:r>
      </w:hyperlink>
      <w:r w:rsidR="00BA27A0" w:rsidRPr="00BA27A0">
        <w:rPr>
          <w:rFonts w:ascii="Arial" w:hAnsi="Arial" w:cs="Arial"/>
          <w:lang w:val="fr-CA" w:eastAsia="en-CA"/>
        </w:rPr>
        <w:t>.</w:t>
      </w:r>
      <w:r w:rsidR="00BA27A0">
        <w:rPr>
          <w:rFonts w:ascii="Arial" w:hAnsi="Arial" w:cs="Arial"/>
          <w:lang w:val="fr-CA" w:eastAsia="en-CA"/>
        </w:rPr>
        <w:t xml:space="preserve"> </w:t>
      </w:r>
    </w:p>
    <w:bookmarkEnd w:id="2"/>
    <w:p w14:paraId="3A886BA2" w14:textId="1E95F727" w:rsidR="00BA27A0" w:rsidRDefault="00BA27A0" w:rsidP="006E4390">
      <w:pPr>
        <w:rPr>
          <w:rFonts w:ascii="Arial" w:hAnsi="Arial" w:cs="Arial"/>
          <w:lang w:val="fr-CA" w:eastAsia="en-CA"/>
        </w:rPr>
      </w:pPr>
    </w:p>
    <w:p w14:paraId="6A389DAE" w14:textId="77777777" w:rsidR="009D4E4E" w:rsidRPr="00DB2E8E" w:rsidRDefault="009D4E4E" w:rsidP="00B718ED">
      <w:pPr>
        <w:jc w:val="center"/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19060D81" w14:textId="77777777" w:rsidR="009D4E4E" w:rsidRPr="00DB2E8E" w:rsidRDefault="009D4E4E" w:rsidP="009D4E4E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1840D9EB" w14:textId="77777777" w:rsidR="009D4E4E" w:rsidRPr="00DB2E8E" w:rsidRDefault="009D4E4E" w:rsidP="009D4E4E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0AF4CDDD" w14:textId="77777777" w:rsidR="009D4E4E" w:rsidRPr="00DB2E8E" w:rsidRDefault="009D4E4E" w:rsidP="009D4E4E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6C8A4151" w14:textId="77777777" w:rsidR="009D4E4E" w:rsidRPr="00DB2E8E" w:rsidRDefault="009D4E4E" w:rsidP="009D4E4E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0EF8BCCF" w14:textId="77777777" w:rsidR="009D4E4E" w:rsidRPr="00DB2E8E" w:rsidRDefault="009D4E4E" w:rsidP="009D4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15 rue </w:t>
      </w:r>
      <w:proofErr w:type="spellStart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Grosvenor</w:t>
      </w:r>
      <w:proofErr w:type="spellEnd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, rez-de-chaussée, Toronto (Ontario) M7A 2G6</w:t>
      </w:r>
    </w:p>
    <w:p w14:paraId="777018C1" w14:textId="77777777" w:rsidR="009D4E4E" w:rsidRDefault="009D4E4E" w:rsidP="009D4E4E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 xml:space="preserve">Site </w:t>
      </w:r>
      <w:proofErr w:type="gramStart"/>
      <w:r w:rsidRPr="00DB2E8E">
        <w:rPr>
          <w:rFonts w:ascii="Arial" w:hAnsi="Arial" w:cs="Arial"/>
          <w:color w:val="000000"/>
          <w:sz w:val="16"/>
          <w:szCs w:val="16"/>
        </w:rPr>
        <w:t>Web </w:t>
      </w:r>
      <w:r>
        <w:rPr>
          <w:rFonts w:ascii="Arial" w:hAnsi="Arial" w:cs="Arial"/>
          <w:color w:val="000000"/>
          <w:sz w:val="16"/>
          <w:szCs w:val="16"/>
        </w:rPr>
        <w:t>:</w:t>
      </w:r>
      <w:proofErr w:type="gramEnd"/>
      <w:r w:rsidRPr="00DB2E8E">
        <w:rPr>
          <w:sz w:val="16"/>
          <w:szCs w:val="16"/>
        </w:rPr>
        <w:t xml:space="preserve"> </w:t>
      </w:r>
      <w:hyperlink r:id="rId16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22728FDD" w14:textId="77777777" w:rsidR="009D4E4E" w:rsidRPr="00474EB7" w:rsidRDefault="009D4E4E" w:rsidP="009D4E4E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7A3749B6" w14:textId="3F6E2D65" w:rsidR="00BA27A0" w:rsidRDefault="009D4E4E" w:rsidP="009D4E4E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© Imprimeur du Roi pour l’Ontario, 2017</w:t>
      </w:r>
    </w:p>
    <w:p w14:paraId="5A77BD80" w14:textId="6936E0FF" w:rsidR="00EC3C89" w:rsidRPr="009D4E4E" w:rsidRDefault="009D4E4E" w:rsidP="009D4E4E">
      <w:pPr>
        <w:autoSpaceDE w:val="0"/>
        <w:autoSpaceDN w:val="0"/>
        <w:adjustRightInd w:val="0"/>
        <w:rPr>
          <w:rFonts w:ascii="Arial" w:hAnsi="Arial" w:cs="Arial"/>
          <w:sz w:val="16"/>
        </w:rPr>
      </w:pPr>
      <w:r w:rsidRPr="009D4E4E">
        <w:rPr>
          <w:rFonts w:ascii="Arial" w:hAnsi="Arial" w:cs="Arial"/>
          <w:sz w:val="16"/>
        </w:rPr>
        <w:t xml:space="preserve">Available in English: What you should know about </w:t>
      </w:r>
      <w:proofErr w:type="gramStart"/>
      <w:r w:rsidRPr="009D4E4E">
        <w:rPr>
          <w:rFonts w:ascii="Arial" w:hAnsi="Arial" w:cs="Arial"/>
          <w:sz w:val="16"/>
        </w:rPr>
        <w:t>adjournments</w:t>
      </w:r>
      <w:proofErr w:type="gramEnd"/>
    </w:p>
    <w:sectPr w:rsidR="00EC3C89" w:rsidRPr="009D4E4E" w:rsidSect="007F31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1134" w:right="720" w:bottom="993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280E" w14:textId="77777777" w:rsidR="00506592" w:rsidRDefault="00506592">
      <w:r>
        <w:separator/>
      </w:r>
    </w:p>
  </w:endnote>
  <w:endnote w:type="continuationSeparator" w:id="0">
    <w:p w14:paraId="76CCD135" w14:textId="77777777" w:rsidR="00506592" w:rsidRDefault="00506592">
      <w:r>
        <w:continuationSeparator/>
      </w:r>
    </w:p>
  </w:endnote>
  <w:endnote w:type="continuationNotice" w:id="1">
    <w:p w14:paraId="78A2EB6D" w14:textId="77777777" w:rsidR="00506592" w:rsidRDefault="00506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726F" w14:textId="77777777" w:rsidR="00C018A5" w:rsidRDefault="00C01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6EC0" w14:textId="77777777" w:rsidR="00560A6F" w:rsidRPr="005B6CB2" w:rsidRDefault="00EC5672" w:rsidP="0016616D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  <w:lang w:val="fr-CA"/>
      </w:rPr>
    </w:pPr>
    <w:r w:rsidRPr="005B6CB2">
      <w:rPr>
        <w:rFonts w:ascii="Arial" w:hAnsi="Arial" w:cs="Arial"/>
        <w:sz w:val="20"/>
        <w:szCs w:val="20"/>
        <w:lang w:val="fr-CA"/>
      </w:rPr>
      <w:t>Feuille d’</w:t>
    </w:r>
    <w:r w:rsidR="00116CC3">
      <w:rPr>
        <w:rFonts w:ascii="Arial" w:hAnsi="Arial" w:cs="Arial"/>
        <w:sz w:val="20"/>
        <w:szCs w:val="20"/>
        <w:lang w:val="fr-CA"/>
      </w:rPr>
      <w:t xml:space="preserve">information </w:t>
    </w:r>
    <w:r w:rsidRPr="005B6CB2">
      <w:rPr>
        <w:rFonts w:ascii="Arial" w:hAnsi="Arial" w:cs="Arial"/>
        <w:sz w:val="20"/>
        <w:szCs w:val="20"/>
        <w:lang w:val="fr-CA"/>
      </w:rPr>
      <w:t xml:space="preserve">de la </w:t>
    </w:r>
    <w:r w:rsidR="00116CC3">
      <w:rPr>
        <w:rFonts w:ascii="Arial" w:hAnsi="Arial" w:cs="Arial"/>
        <w:sz w:val="20"/>
        <w:szCs w:val="20"/>
        <w:lang w:val="fr-CA"/>
      </w:rPr>
      <w:t>CRÉF</w:t>
    </w:r>
    <w:r w:rsidR="00560A6F" w:rsidRPr="005B6CB2">
      <w:rPr>
        <w:rFonts w:ascii="Arial" w:hAnsi="Arial" w:cs="Arial"/>
        <w:sz w:val="20"/>
        <w:szCs w:val="20"/>
        <w:lang w:val="fr-CA"/>
      </w:rPr>
      <w:tab/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t xml:space="preserve">Page </w:t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fldChar w:fldCharType="begin"/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instrText xml:space="preserve"> PAGE </w:instrText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fldChar w:fldCharType="separate"/>
    </w:r>
    <w:r w:rsidR="00E73FFF">
      <w:rPr>
        <w:rStyle w:val="PageNumber"/>
        <w:rFonts w:ascii="Arial" w:hAnsi="Arial" w:cs="Arial"/>
        <w:noProof/>
        <w:sz w:val="20"/>
        <w:szCs w:val="20"/>
        <w:lang w:val="fr-CA"/>
      </w:rPr>
      <w:t>1</w:t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fldChar w:fldCharType="end"/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116CC3">
      <w:rPr>
        <w:rStyle w:val="PageNumber"/>
        <w:rFonts w:ascii="Arial" w:hAnsi="Arial" w:cs="Arial"/>
        <w:sz w:val="20"/>
        <w:szCs w:val="20"/>
        <w:lang w:val="fr-CA"/>
      </w:rPr>
      <w:t>de</w:t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fldChar w:fldCharType="begin"/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instrText xml:space="preserve"> NUMPAGES </w:instrText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fldChar w:fldCharType="separate"/>
    </w:r>
    <w:r w:rsidR="00E73FFF">
      <w:rPr>
        <w:rStyle w:val="PageNumber"/>
        <w:rFonts w:ascii="Arial" w:hAnsi="Arial" w:cs="Arial"/>
        <w:noProof/>
        <w:sz w:val="20"/>
        <w:szCs w:val="20"/>
        <w:lang w:val="fr-CA"/>
      </w:rPr>
      <w:t>2</w:t>
    </w:r>
    <w:r w:rsidR="00560A6F" w:rsidRPr="005B6CB2">
      <w:rPr>
        <w:rStyle w:val="PageNumber"/>
        <w:rFonts w:ascii="Arial" w:hAnsi="Arial" w:cs="Arial"/>
        <w:sz w:val="20"/>
        <w:szCs w:val="20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884E" w14:textId="77777777" w:rsidR="00C018A5" w:rsidRDefault="00C01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05BC" w14:textId="77777777" w:rsidR="00506592" w:rsidRDefault="00506592">
      <w:r>
        <w:separator/>
      </w:r>
    </w:p>
  </w:footnote>
  <w:footnote w:type="continuationSeparator" w:id="0">
    <w:p w14:paraId="26691F2E" w14:textId="77777777" w:rsidR="00506592" w:rsidRDefault="00506592">
      <w:r>
        <w:continuationSeparator/>
      </w:r>
    </w:p>
  </w:footnote>
  <w:footnote w:type="continuationNotice" w:id="1">
    <w:p w14:paraId="4217109D" w14:textId="77777777" w:rsidR="00506592" w:rsidRDefault="00506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BA66" w14:textId="77777777" w:rsidR="00C018A5" w:rsidRDefault="00C01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EA3D" w14:textId="77777777" w:rsidR="00C018A5" w:rsidRDefault="00C01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C242" w14:textId="77777777" w:rsidR="00C018A5" w:rsidRDefault="00C01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EBE"/>
    <w:multiLevelType w:val="hybridMultilevel"/>
    <w:tmpl w:val="673833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FE"/>
    <w:multiLevelType w:val="hybridMultilevel"/>
    <w:tmpl w:val="3D8C6C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0C8E4291"/>
    <w:multiLevelType w:val="hybridMultilevel"/>
    <w:tmpl w:val="E19E02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D7089"/>
    <w:multiLevelType w:val="hybridMultilevel"/>
    <w:tmpl w:val="EE7CA3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B2A56"/>
    <w:multiLevelType w:val="hybridMultilevel"/>
    <w:tmpl w:val="9AEA7934"/>
    <w:lvl w:ilvl="0" w:tplc="784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24E46"/>
    <w:multiLevelType w:val="hybridMultilevel"/>
    <w:tmpl w:val="6F1C17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2D2E"/>
    <w:multiLevelType w:val="hybridMultilevel"/>
    <w:tmpl w:val="EACE90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10EB"/>
    <w:multiLevelType w:val="hybridMultilevel"/>
    <w:tmpl w:val="F26A72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6DF"/>
    <w:multiLevelType w:val="hybridMultilevel"/>
    <w:tmpl w:val="AF668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3F2A"/>
    <w:multiLevelType w:val="hybridMultilevel"/>
    <w:tmpl w:val="E56E49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55C"/>
    <w:multiLevelType w:val="hybridMultilevel"/>
    <w:tmpl w:val="1D20DE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95ABC"/>
    <w:multiLevelType w:val="hybridMultilevel"/>
    <w:tmpl w:val="77BE1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7919"/>
    <w:multiLevelType w:val="hybridMultilevel"/>
    <w:tmpl w:val="E7D2FC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E21BBC"/>
    <w:multiLevelType w:val="hybridMultilevel"/>
    <w:tmpl w:val="5F584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C26CD"/>
    <w:multiLevelType w:val="hybridMultilevel"/>
    <w:tmpl w:val="43A81112"/>
    <w:lvl w:ilvl="0" w:tplc="407894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A36CD1"/>
    <w:multiLevelType w:val="hybridMultilevel"/>
    <w:tmpl w:val="2D2E9ED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F342F"/>
    <w:multiLevelType w:val="hybridMultilevel"/>
    <w:tmpl w:val="C5E46F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3650"/>
    <w:multiLevelType w:val="hybridMultilevel"/>
    <w:tmpl w:val="8F2275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1944382">
    <w:abstractNumId w:val="4"/>
  </w:num>
  <w:num w:numId="2" w16cid:durableId="1709137837">
    <w:abstractNumId w:val="5"/>
  </w:num>
  <w:num w:numId="3" w16cid:durableId="297537524">
    <w:abstractNumId w:val="2"/>
  </w:num>
  <w:num w:numId="4" w16cid:durableId="508256007">
    <w:abstractNumId w:val="17"/>
  </w:num>
  <w:num w:numId="5" w16cid:durableId="1870096651">
    <w:abstractNumId w:val="9"/>
  </w:num>
  <w:num w:numId="6" w16cid:durableId="932132356">
    <w:abstractNumId w:val="15"/>
  </w:num>
  <w:num w:numId="7" w16cid:durableId="971521872">
    <w:abstractNumId w:val="18"/>
  </w:num>
  <w:num w:numId="8" w16cid:durableId="1530874178">
    <w:abstractNumId w:val="1"/>
  </w:num>
  <w:num w:numId="9" w16cid:durableId="1510146414">
    <w:abstractNumId w:val="0"/>
  </w:num>
  <w:num w:numId="10" w16cid:durableId="1442727334">
    <w:abstractNumId w:val="16"/>
  </w:num>
  <w:num w:numId="11" w16cid:durableId="1580141866">
    <w:abstractNumId w:val="12"/>
  </w:num>
  <w:num w:numId="12" w16cid:durableId="1761297532">
    <w:abstractNumId w:val="10"/>
  </w:num>
  <w:num w:numId="13" w16cid:durableId="2058044203">
    <w:abstractNumId w:val="6"/>
  </w:num>
  <w:num w:numId="14" w16cid:durableId="1413774771">
    <w:abstractNumId w:val="14"/>
  </w:num>
  <w:num w:numId="15" w16cid:durableId="1565990661">
    <w:abstractNumId w:val="13"/>
  </w:num>
  <w:num w:numId="16" w16cid:durableId="203251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163165">
    <w:abstractNumId w:val="19"/>
  </w:num>
  <w:num w:numId="18" w16cid:durableId="1241330875">
    <w:abstractNumId w:val="20"/>
  </w:num>
  <w:num w:numId="19" w16cid:durableId="1820731399">
    <w:abstractNumId w:val="11"/>
  </w:num>
  <w:num w:numId="20" w16cid:durableId="189727940">
    <w:abstractNumId w:val="8"/>
  </w:num>
  <w:num w:numId="21" w16cid:durableId="101622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631"/>
    <w:rsid w:val="000025B3"/>
    <w:rsid w:val="000032B4"/>
    <w:rsid w:val="00003ECA"/>
    <w:rsid w:val="00017400"/>
    <w:rsid w:val="0002627A"/>
    <w:rsid w:val="00026BCA"/>
    <w:rsid w:val="00031E47"/>
    <w:rsid w:val="00034BCC"/>
    <w:rsid w:val="000426E5"/>
    <w:rsid w:val="00051204"/>
    <w:rsid w:val="0005726F"/>
    <w:rsid w:val="00065ABE"/>
    <w:rsid w:val="00066CF6"/>
    <w:rsid w:val="000713B1"/>
    <w:rsid w:val="00072F83"/>
    <w:rsid w:val="000942B7"/>
    <w:rsid w:val="000968EF"/>
    <w:rsid w:val="000B66AD"/>
    <w:rsid w:val="000B7F90"/>
    <w:rsid w:val="000C34DE"/>
    <w:rsid w:val="000C4586"/>
    <w:rsid w:val="000C51B9"/>
    <w:rsid w:val="000C6C35"/>
    <w:rsid w:val="000D2EF0"/>
    <w:rsid w:val="00102AD6"/>
    <w:rsid w:val="001031C7"/>
    <w:rsid w:val="00116CC3"/>
    <w:rsid w:val="00126365"/>
    <w:rsid w:val="00135029"/>
    <w:rsid w:val="001361A9"/>
    <w:rsid w:val="001456B2"/>
    <w:rsid w:val="001511FD"/>
    <w:rsid w:val="001531AA"/>
    <w:rsid w:val="00155F5C"/>
    <w:rsid w:val="0016616D"/>
    <w:rsid w:val="001669A9"/>
    <w:rsid w:val="001728D4"/>
    <w:rsid w:val="00173E06"/>
    <w:rsid w:val="00177457"/>
    <w:rsid w:val="00182405"/>
    <w:rsid w:val="0019539A"/>
    <w:rsid w:val="001A5D4E"/>
    <w:rsid w:val="001B45D0"/>
    <w:rsid w:val="001B5305"/>
    <w:rsid w:val="001B5FB0"/>
    <w:rsid w:val="001C05D6"/>
    <w:rsid w:val="001D14FE"/>
    <w:rsid w:val="001D1AA2"/>
    <w:rsid w:val="001E045A"/>
    <w:rsid w:val="001E4A31"/>
    <w:rsid w:val="001E6745"/>
    <w:rsid w:val="001E7F8B"/>
    <w:rsid w:val="00201A8C"/>
    <w:rsid w:val="00203E4D"/>
    <w:rsid w:val="0021342F"/>
    <w:rsid w:val="00213D08"/>
    <w:rsid w:val="00215647"/>
    <w:rsid w:val="00215903"/>
    <w:rsid w:val="0022106F"/>
    <w:rsid w:val="00244760"/>
    <w:rsid w:val="00262CEC"/>
    <w:rsid w:val="00263951"/>
    <w:rsid w:val="00264973"/>
    <w:rsid w:val="0026713E"/>
    <w:rsid w:val="00271CE3"/>
    <w:rsid w:val="002728E2"/>
    <w:rsid w:val="002824EB"/>
    <w:rsid w:val="002B264D"/>
    <w:rsid w:val="002B5874"/>
    <w:rsid w:val="002D42A8"/>
    <w:rsid w:val="002D4415"/>
    <w:rsid w:val="002D44E0"/>
    <w:rsid w:val="002F1AB2"/>
    <w:rsid w:val="00301943"/>
    <w:rsid w:val="00305823"/>
    <w:rsid w:val="00305FF4"/>
    <w:rsid w:val="0031190F"/>
    <w:rsid w:val="00322297"/>
    <w:rsid w:val="00322F4C"/>
    <w:rsid w:val="003264E5"/>
    <w:rsid w:val="003272E5"/>
    <w:rsid w:val="00327E6B"/>
    <w:rsid w:val="00332FE1"/>
    <w:rsid w:val="00334542"/>
    <w:rsid w:val="003376FF"/>
    <w:rsid w:val="00361B29"/>
    <w:rsid w:val="003650A5"/>
    <w:rsid w:val="003839E9"/>
    <w:rsid w:val="00390FB4"/>
    <w:rsid w:val="00393558"/>
    <w:rsid w:val="0039479C"/>
    <w:rsid w:val="003A0CD7"/>
    <w:rsid w:val="003A0F92"/>
    <w:rsid w:val="003A2B43"/>
    <w:rsid w:val="003A4968"/>
    <w:rsid w:val="003A4A55"/>
    <w:rsid w:val="003C2F85"/>
    <w:rsid w:val="003D111C"/>
    <w:rsid w:val="003D292D"/>
    <w:rsid w:val="003F1709"/>
    <w:rsid w:val="004030FB"/>
    <w:rsid w:val="004043C8"/>
    <w:rsid w:val="00417A10"/>
    <w:rsid w:val="00426CC6"/>
    <w:rsid w:val="004301E6"/>
    <w:rsid w:val="00430A52"/>
    <w:rsid w:val="00443EFE"/>
    <w:rsid w:val="004442E5"/>
    <w:rsid w:val="00462298"/>
    <w:rsid w:val="00467D4E"/>
    <w:rsid w:val="00483167"/>
    <w:rsid w:val="00485C7F"/>
    <w:rsid w:val="00486660"/>
    <w:rsid w:val="00490323"/>
    <w:rsid w:val="004A556A"/>
    <w:rsid w:val="004B5C08"/>
    <w:rsid w:val="004B6ABC"/>
    <w:rsid w:val="004C166E"/>
    <w:rsid w:val="004D1F5F"/>
    <w:rsid w:val="004D2074"/>
    <w:rsid w:val="004D4CD7"/>
    <w:rsid w:val="004E0395"/>
    <w:rsid w:val="004E4786"/>
    <w:rsid w:val="004F4FA2"/>
    <w:rsid w:val="00506592"/>
    <w:rsid w:val="00507DC4"/>
    <w:rsid w:val="0052301A"/>
    <w:rsid w:val="0053365B"/>
    <w:rsid w:val="00560A6F"/>
    <w:rsid w:val="00563C28"/>
    <w:rsid w:val="0057233D"/>
    <w:rsid w:val="00574259"/>
    <w:rsid w:val="00575961"/>
    <w:rsid w:val="005762F7"/>
    <w:rsid w:val="00594662"/>
    <w:rsid w:val="005973A0"/>
    <w:rsid w:val="00597891"/>
    <w:rsid w:val="005A2AAE"/>
    <w:rsid w:val="005A6B60"/>
    <w:rsid w:val="005A76F5"/>
    <w:rsid w:val="005B1AAC"/>
    <w:rsid w:val="005B67A1"/>
    <w:rsid w:val="005B6CB2"/>
    <w:rsid w:val="005B6FCF"/>
    <w:rsid w:val="005C2C73"/>
    <w:rsid w:val="005C3BAD"/>
    <w:rsid w:val="005E1A84"/>
    <w:rsid w:val="005E38F2"/>
    <w:rsid w:val="005F4989"/>
    <w:rsid w:val="00614EF2"/>
    <w:rsid w:val="00621840"/>
    <w:rsid w:val="00627CD0"/>
    <w:rsid w:val="00634A07"/>
    <w:rsid w:val="00645CED"/>
    <w:rsid w:val="00646709"/>
    <w:rsid w:val="006709FD"/>
    <w:rsid w:val="00673BFC"/>
    <w:rsid w:val="00680B9F"/>
    <w:rsid w:val="00680BC6"/>
    <w:rsid w:val="00681D10"/>
    <w:rsid w:val="00684886"/>
    <w:rsid w:val="006950D5"/>
    <w:rsid w:val="00696CFC"/>
    <w:rsid w:val="006A2E9B"/>
    <w:rsid w:val="006B016F"/>
    <w:rsid w:val="006C4CAA"/>
    <w:rsid w:val="006E207A"/>
    <w:rsid w:val="006E4390"/>
    <w:rsid w:val="006F0FC4"/>
    <w:rsid w:val="006F40A6"/>
    <w:rsid w:val="0070225C"/>
    <w:rsid w:val="00715EB7"/>
    <w:rsid w:val="007211CA"/>
    <w:rsid w:val="00721BAA"/>
    <w:rsid w:val="00724430"/>
    <w:rsid w:val="00744025"/>
    <w:rsid w:val="00751AC9"/>
    <w:rsid w:val="00751E91"/>
    <w:rsid w:val="007600C8"/>
    <w:rsid w:val="00762D6F"/>
    <w:rsid w:val="00777CA3"/>
    <w:rsid w:val="007856A1"/>
    <w:rsid w:val="0079466C"/>
    <w:rsid w:val="007973D2"/>
    <w:rsid w:val="007A0E23"/>
    <w:rsid w:val="007B0B08"/>
    <w:rsid w:val="007B27CB"/>
    <w:rsid w:val="007B6752"/>
    <w:rsid w:val="007C17FC"/>
    <w:rsid w:val="007C4759"/>
    <w:rsid w:val="007D3523"/>
    <w:rsid w:val="007D50BB"/>
    <w:rsid w:val="007E2152"/>
    <w:rsid w:val="007E29FC"/>
    <w:rsid w:val="007E3114"/>
    <w:rsid w:val="007E6003"/>
    <w:rsid w:val="007F310C"/>
    <w:rsid w:val="007F68E2"/>
    <w:rsid w:val="00806900"/>
    <w:rsid w:val="008114A0"/>
    <w:rsid w:val="008141DE"/>
    <w:rsid w:val="00844E28"/>
    <w:rsid w:val="00845DED"/>
    <w:rsid w:val="00851360"/>
    <w:rsid w:val="008748BE"/>
    <w:rsid w:val="008756BC"/>
    <w:rsid w:val="008833CF"/>
    <w:rsid w:val="00885714"/>
    <w:rsid w:val="00885B77"/>
    <w:rsid w:val="00890BFE"/>
    <w:rsid w:val="008928D9"/>
    <w:rsid w:val="008A2306"/>
    <w:rsid w:val="008A475A"/>
    <w:rsid w:val="008B6B93"/>
    <w:rsid w:val="008D7D88"/>
    <w:rsid w:val="008E0D5C"/>
    <w:rsid w:val="008E7E43"/>
    <w:rsid w:val="00907B72"/>
    <w:rsid w:val="00913628"/>
    <w:rsid w:val="00914BAE"/>
    <w:rsid w:val="00916B14"/>
    <w:rsid w:val="00924E3A"/>
    <w:rsid w:val="0093463F"/>
    <w:rsid w:val="0094018E"/>
    <w:rsid w:val="009410AB"/>
    <w:rsid w:val="009412F6"/>
    <w:rsid w:val="009439C9"/>
    <w:rsid w:val="009629B2"/>
    <w:rsid w:val="00965941"/>
    <w:rsid w:val="009703BF"/>
    <w:rsid w:val="00981045"/>
    <w:rsid w:val="009B5A74"/>
    <w:rsid w:val="009B7758"/>
    <w:rsid w:val="009D341A"/>
    <w:rsid w:val="009D4E4E"/>
    <w:rsid w:val="009D72C2"/>
    <w:rsid w:val="009E3873"/>
    <w:rsid w:val="009F7495"/>
    <w:rsid w:val="00A15631"/>
    <w:rsid w:val="00A21608"/>
    <w:rsid w:val="00A278BB"/>
    <w:rsid w:val="00A31EAD"/>
    <w:rsid w:val="00A34703"/>
    <w:rsid w:val="00A34F2B"/>
    <w:rsid w:val="00A54EE4"/>
    <w:rsid w:val="00A71B65"/>
    <w:rsid w:val="00A75142"/>
    <w:rsid w:val="00A81B6E"/>
    <w:rsid w:val="00A84333"/>
    <w:rsid w:val="00A87528"/>
    <w:rsid w:val="00A913C7"/>
    <w:rsid w:val="00A96D4B"/>
    <w:rsid w:val="00AC634D"/>
    <w:rsid w:val="00AC7F50"/>
    <w:rsid w:val="00AE3356"/>
    <w:rsid w:val="00AF4346"/>
    <w:rsid w:val="00AF72E8"/>
    <w:rsid w:val="00AF7B8B"/>
    <w:rsid w:val="00B06F3A"/>
    <w:rsid w:val="00B20BDB"/>
    <w:rsid w:val="00B25245"/>
    <w:rsid w:val="00B43EA0"/>
    <w:rsid w:val="00B532F0"/>
    <w:rsid w:val="00B571DD"/>
    <w:rsid w:val="00B57FA9"/>
    <w:rsid w:val="00B60FC2"/>
    <w:rsid w:val="00B70698"/>
    <w:rsid w:val="00B718ED"/>
    <w:rsid w:val="00B74325"/>
    <w:rsid w:val="00B928C2"/>
    <w:rsid w:val="00BA01C0"/>
    <w:rsid w:val="00BA27A0"/>
    <w:rsid w:val="00BD1232"/>
    <w:rsid w:val="00BD7729"/>
    <w:rsid w:val="00BE56BE"/>
    <w:rsid w:val="00C018A5"/>
    <w:rsid w:val="00C07E5C"/>
    <w:rsid w:val="00C13125"/>
    <w:rsid w:val="00C23384"/>
    <w:rsid w:val="00C237F3"/>
    <w:rsid w:val="00C335E9"/>
    <w:rsid w:val="00C33E33"/>
    <w:rsid w:val="00C418B7"/>
    <w:rsid w:val="00C43AF7"/>
    <w:rsid w:val="00C51D29"/>
    <w:rsid w:val="00C535A3"/>
    <w:rsid w:val="00C634EA"/>
    <w:rsid w:val="00C737CD"/>
    <w:rsid w:val="00C74D1F"/>
    <w:rsid w:val="00C754CE"/>
    <w:rsid w:val="00C83FCA"/>
    <w:rsid w:val="00CA3926"/>
    <w:rsid w:val="00CB75D2"/>
    <w:rsid w:val="00CC3149"/>
    <w:rsid w:val="00CC562E"/>
    <w:rsid w:val="00CC5C00"/>
    <w:rsid w:val="00CD6973"/>
    <w:rsid w:val="00CE05CB"/>
    <w:rsid w:val="00CF52E3"/>
    <w:rsid w:val="00CF5A8C"/>
    <w:rsid w:val="00CF66AC"/>
    <w:rsid w:val="00D005EC"/>
    <w:rsid w:val="00D24913"/>
    <w:rsid w:val="00D24D43"/>
    <w:rsid w:val="00D44AF4"/>
    <w:rsid w:val="00D470B5"/>
    <w:rsid w:val="00D67076"/>
    <w:rsid w:val="00D82EA3"/>
    <w:rsid w:val="00DA2747"/>
    <w:rsid w:val="00DA699D"/>
    <w:rsid w:val="00DC2A64"/>
    <w:rsid w:val="00DC51AD"/>
    <w:rsid w:val="00DF2CF3"/>
    <w:rsid w:val="00E015A7"/>
    <w:rsid w:val="00E022B1"/>
    <w:rsid w:val="00E11547"/>
    <w:rsid w:val="00E15A4F"/>
    <w:rsid w:val="00E23092"/>
    <w:rsid w:val="00E2581A"/>
    <w:rsid w:val="00E33C20"/>
    <w:rsid w:val="00E4275A"/>
    <w:rsid w:val="00E457B6"/>
    <w:rsid w:val="00E61C3B"/>
    <w:rsid w:val="00E63449"/>
    <w:rsid w:val="00E66806"/>
    <w:rsid w:val="00E73FFF"/>
    <w:rsid w:val="00E753E6"/>
    <w:rsid w:val="00E75D71"/>
    <w:rsid w:val="00E85352"/>
    <w:rsid w:val="00E94B5C"/>
    <w:rsid w:val="00E95726"/>
    <w:rsid w:val="00EA05F7"/>
    <w:rsid w:val="00EA1B62"/>
    <w:rsid w:val="00EC3C89"/>
    <w:rsid w:val="00EC5672"/>
    <w:rsid w:val="00EC5EC3"/>
    <w:rsid w:val="00EE0481"/>
    <w:rsid w:val="00F12EAA"/>
    <w:rsid w:val="00F1333D"/>
    <w:rsid w:val="00F16747"/>
    <w:rsid w:val="00F20441"/>
    <w:rsid w:val="00F22D96"/>
    <w:rsid w:val="00F23065"/>
    <w:rsid w:val="00F24BEE"/>
    <w:rsid w:val="00F25034"/>
    <w:rsid w:val="00F36272"/>
    <w:rsid w:val="00F44FBA"/>
    <w:rsid w:val="00F57321"/>
    <w:rsid w:val="00F6306F"/>
    <w:rsid w:val="00F63CC1"/>
    <w:rsid w:val="00F77637"/>
    <w:rsid w:val="00F852DA"/>
    <w:rsid w:val="00F87477"/>
    <w:rsid w:val="00F90973"/>
    <w:rsid w:val="00F921CB"/>
    <w:rsid w:val="00F96C02"/>
    <w:rsid w:val="00F9749F"/>
    <w:rsid w:val="00FA555B"/>
    <w:rsid w:val="00FA5D43"/>
    <w:rsid w:val="00FB177C"/>
    <w:rsid w:val="00FC4258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21F3B728"/>
  <w15:docId w15:val="{94505D29-3EFA-4EA3-97B2-A0887F0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F52E3"/>
    <w:pP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CF52E3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CF52E3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CF52E3"/>
    <w:rPr>
      <w:rFonts w:ascii="Arial" w:hAnsi="Arial" w:cs="Arial"/>
      <w:b/>
      <w:bCs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F52E3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SubtitleChar">
    <w:name w:val="Subtitle Char"/>
    <w:link w:val="Subtitle"/>
    <w:rsid w:val="00CF52E3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styleId="Emphasis">
    <w:name w:val="Emphasis"/>
    <w:qFormat/>
    <w:rsid w:val="00182405"/>
    <w:rPr>
      <w:rFonts w:ascii="Arial" w:hAnsi="Arial" w:cs="Arial"/>
      <w:b/>
    </w:rPr>
  </w:style>
  <w:style w:type="character" w:styleId="FollowedHyperlink">
    <w:name w:val="FollowedHyperlink"/>
    <w:rsid w:val="00393558"/>
    <w:rPr>
      <w:color w:val="800080"/>
      <w:u w:val="single"/>
    </w:rPr>
  </w:style>
  <w:style w:type="paragraph" w:customStyle="1" w:styleId="Style1">
    <w:name w:val="Style1"/>
    <w:basedOn w:val="Normal"/>
    <w:link w:val="Style1Char"/>
    <w:qFormat/>
    <w:rsid w:val="001E6745"/>
    <w:p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character" w:styleId="CommentReference">
    <w:name w:val="annotation reference"/>
    <w:uiPriority w:val="99"/>
    <w:rsid w:val="00CC562E"/>
    <w:rPr>
      <w:sz w:val="16"/>
      <w:szCs w:val="16"/>
    </w:rPr>
  </w:style>
  <w:style w:type="character" w:customStyle="1" w:styleId="Style1Char">
    <w:name w:val="Style1 Char"/>
    <w:link w:val="Style1"/>
    <w:rsid w:val="001E6745"/>
    <w:rPr>
      <w:rFonts w:ascii="Arial" w:hAnsi="Arial" w:cs="Arial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CC56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56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562E"/>
    <w:rPr>
      <w:b/>
      <w:bCs/>
    </w:rPr>
  </w:style>
  <w:style w:type="character" w:customStyle="1" w:styleId="CommentSubjectChar">
    <w:name w:val="Comment Subject Char"/>
    <w:link w:val="CommentSubject"/>
    <w:rsid w:val="00CC562E"/>
    <w:rPr>
      <w:b/>
      <w:bCs/>
      <w:lang w:eastAsia="en-US"/>
    </w:rPr>
  </w:style>
  <w:style w:type="paragraph" w:styleId="NoSpacing">
    <w:name w:val="No Spacing"/>
    <w:uiPriority w:val="1"/>
    <w:qFormat/>
    <w:rsid w:val="008A475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5647"/>
    <w:pPr>
      <w:ind w:left="720"/>
    </w:pPr>
  </w:style>
  <w:style w:type="paragraph" w:styleId="Revision">
    <w:name w:val="Revision"/>
    <w:hidden/>
    <w:uiPriority w:val="99"/>
    <w:semiHidden/>
    <w:rsid w:val="007B27CB"/>
    <w:rPr>
      <w:sz w:val="24"/>
      <w:szCs w:val="24"/>
      <w:lang w:eastAsia="en-US"/>
    </w:rPr>
  </w:style>
  <w:style w:type="table" w:styleId="TableGrid">
    <w:name w:val="Table Grid"/>
    <w:basedOn w:val="TableNormal"/>
    <w:rsid w:val="00A3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b.registrar@ontario.c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cref/loi-et-regl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tribunalsontario.ca/cref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b.gov.on.ca/ressources/legislation-and-rules/?lang=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rb.registrar@ontario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egistrar@ontario.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ribunalsontario.ca/cref/formulaires/" TargetMode="External"/><Relationship Id="rId14" Type="http://schemas.openxmlformats.org/officeDocument/2006/relationships/hyperlink" Target="http://tribunalsontario.ca/cref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6374-0731-44FD-9C12-F487ADABBD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890</Words>
  <Characters>4548</Characters>
  <Application>Microsoft Office Word</Application>
  <DocSecurity>0</DocSecurity>
  <Lines>156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5382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http://elto.gov.on.ca/wp-content/uploads/2015/02/ARB-InfoSheet12-WillISaveMoneyIfIAppeal.pdf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Kappel, Alex (MAG)</dc:creator>
  <cp:lastModifiedBy>McLean, Michael (MAG)</cp:lastModifiedBy>
  <cp:revision>20</cp:revision>
  <cp:lastPrinted>2021-10-07T15:26:00Z</cp:lastPrinted>
  <dcterms:created xsi:type="dcterms:W3CDTF">2019-01-07T20:30:00Z</dcterms:created>
  <dcterms:modified xsi:type="dcterms:W3CDTF">2025-02-12T18:13:00Z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2021-10-05T15:37:05Z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cc02b736-3937-4c3a-acbf-bd5c523ac94e</vt:lpwstr>
  </property>
  <property fmtid="{D5CDD505-2E9C-101B-9397-08002B2CF9AE}" pid="8" name="MSIP_Label_034a106e-6316-442c-ad35-738afd673d2b_ContentBits">
    <vt:lpwstr>0</vt:lpwstr>
  </property>
</Properties>
</file>